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D617" w14:textId="77777777" w:rsidR="00A16404" w:rsidRDefault="00A16404" w:rsidP="00A16404">
      <w:pPr>
        <w:spacing w:after="0"/>
        <w:jc w:val="center"/>
        <w:rPr>
          <w:rFonts w:ascii="Arial" w:hAnsi="Arial" w:cs="Arial"/>
          <w:b/>
          <w:bCs/>
          <w:color w:val="000000"/>
          <w:sz w:val="20"/>
          <w:szCs w:val="20"/>
        </w:rPr>
      </w:pPr>
      <w:r>
        <w:rPr>
          <w:rFonts w:ascii="Arial" w:hAnsi="Arial" w:cs="Arial"/>
          <w:b/>
          <w:bCs/>
          <w:color w:val="000000"/>
          <w:sz w:val="20"/>
          <w:szCs w:val="20"/>
        </w:rPr>
        <w:t>Ethics in Banking</w:t>
      </w:r>
    </w:p>
    <w:p w14:paraId="3D39F571" w14:textId="77777777" w:rsidR="00A16404" w:rsidRDefault="00A16404" w:rsidP="00A16404">
      <w:pPr>
        <w:spacing w:after="0"/>
        <w:jc w:val="both"/>
        <w:rPr>
          <w:rFonts w:ascii="Arial" w:hAnsi="Arial" w:cs="Arial"/>
          <w:b/>
          <w:bCs/>
          <w:color w:val="000000"/>
          <w:sz w:val="20"/>
          <w:szCs w:val="20"/>
        </w:rPr>
      </w:pPr>
    </w:p>
    <w:tbl>
      <w:tblPr>
        <w:tblStyle w:val="TableGrid"/>
        <w:tblW w:w="9900" w:type="dxa"/>
        <w:tblLook w:val="04A0" w:firstRow="1" w:lastRow="0" w:firstColumn="1" w:lastColumn="0" w:noHBand="0" w:noVBand="1"/>
      </w:tblPr>
      <w:tblGrid>
        <w:gridCol w:w="799"/>
        <w:gridCol w:w="9101"/>
      </w:tblGrid>
      <w:tr w:rsidR="00A16404" w14:paraId="0DE9B66A" w14:textId="77777777" w:rsidTr="00DA3054">
        <w:trPr>
          <w:trHeight w:val="318"/>
        </w:trPr>
        <w:tc>
          <w:tcPr>
            <w:tcW w:w="799" w:type="dxa"/>
          </w:tcPr>
          <w:p w14:paraId="7389B5A8" w14:textId="63E6AA1B" w:rsidR="00A16404" w:rsidRDefault="00A16404" w:rsidP="00A16404">
            <w:pPr>
              <w:jc w:val="center"/>
              <w:rPr>
                <w:rFonts w:ascii="Arial" w:hAnsi="Arial" w:cs="Arial"/>
                <w:b/>
                <w:bCs/>
                <w:color w:val="000000"/>
                <w:sz w:val="20"/>
                <w:szCs w:val="20"/>
              </w:rPr>
            </w:pPr>
            <w:r>
              <w:rPr>
                <w:rFonts w:ascii="Arial" w:hAnsi="Arial" w:cs="Arial"/>
                <w:b/>
                <w:bCs/>
                <w:color w:val="000000"/>
                <w:sz w:val="20"/>
                <w:szCs w:val="20"/>
              </w:rPr>
              <w:t>S</w:t>
            </w:r>
            <w:r w:rsidR="00081A9A">
              <w:rPr>
                <w:rFonts w:ascii="Arial" w:hAnsi="Arial" w:cs="Arial"/>
                <w:b/>
                <w:bCs/>
                <w:color w:val="000000"/>
                <w:sz w:val="20"/>
                <w:szCs w:val="20"/>
              </w:rPr>
              <w:t>l</w:t>
            </w:r>
            <w:r>
              <w:rPr>
                <w:rFonts w:ascii="Arial" w:hAnsi="Arial" w:cs="Arial"/>
                <w:b/>
                <w:bCs/>
                <w:color w:val="000000"/>
                <w:sz w:val="20"/>
                <w:szCs w:val="20"/>
              </w:rPr>
              <w:t>.</w:t>
            </w:r>
            <w:r w:rsidR="00081A9A">
              <w:rPr>
                <w:rFonts w:ascii="Arial" w:hAnsi="Arial" w:cs="Arial"/>
                <w:b/>
                <w:bCs/>
                <w:color w:val="000000"/>
                <w:sz w:val="20"/>
                <w:szCs w:val="20"/>
              </w:rPr>
              <w:t xml:space="preserve"> </w:t>
            </w:r>
            <w:r>
              <w:rPr>
                <w:rFonts w:ascii="Arial" w:hAnsi="Arial" w:cs="Arial"/>
                <w:b/>
                <w:bCs/>
                <w:color w:val="000000"/>
                <w:sz w:val="20"/>
                <w:szCs w:val="20"/>
              </w:rPr>
              <w:t>No.</w:t>
            </w:r>
          </w:p>
        </w:tc>
        <w:tc>
          <w:tcPr>
            <w:tcW w:w="9101" w:type="dxa"/>
          </w:tcPr>
          <w:p w14:paraId="050AE46C" w14:textId="77777777" w:rsidR="00A16404" w:rsidRDefault="00A16404" w:rsidP="00A16404">
            <w:pPr>
              <w:jc w:val="center"/>
              <w:rPr>
                <w:rFonts w:ascii="Arial" w:hAnsi="Arial" w:cs="Arial"/>
                <w:b/>
                <w:bCs/>
                <w:color w:val="000000"/>
                <w:sz w:val="20"/>
                <w:szCs w:val="20"/>
              </w:rPr>
            </w:pPr>
            <w:r>
              <w:rPr>
                <w:rFonts w:ascii="Arial" w:hAnsi="Arial" w:cs="Arial"/>
                <w:b/>
                <w:bCs/>
                <w:color w:val="000000"/>
                <w:sz w:val="20"/>
                <w:szCs w:val="20"/>
              </w:rPr>
              <w:t>RBI Notification</w:t>
            </w:r>
          </w:p>
        </w:tc>
      </w:tr>
      <w:tr w:rsidR="004E34F0" w:rsidRPr="00A16404" w14:paraId="454CBC58" w14:textId="77777777" w:rsidTr="00DA3054">
        <w:trPr>
          <w:trHeight w:val="625"/>
        </w:trPr>
        <w:tc>
          <w:tcPr>
            <w:tcW w:w="799" w:type="dxa"/>
          </w:tcPr>
          <w:p w14:paraId="5A07B64E" w14:textId="5F952777" w:rsidR="004E34F0" w:rsidRPr="00DA3054" w:rsidRDefault="004E34F0" w:rsidP="004E34F0">
            <w:pPr>
              <w:jc w:val="center"/>
              <w:rPr>
                <w:rFonts w:cstheme="minorHAnsi"/>
                <w:bCs/>
                <w:color w:val="000000"/>
                <w:sz w:val="24"/>
                <w:szCs w:val="24"/>
              </w:rPr>
            </w:pPr>
            <w:r w:rsidRPr="00DA3054">
              <w:rPr>
                <w:rFonts w:cstheme="minorHAnsi"/>
                <w:bCs/>
                <w:color w:val="000000"/>
                <w:sz w:val="24"/>
                <w:szCs w:val="24"/>
              </w:rPr>
              <w:t>1</w:t>
            </w:r>
            <w:r w:rsidR="00DA3054">
              <w:rPr>
                <w:rFonts w:cstheme="minorHAnsi"/>
                <w:bCs/>
                <w:color w:val="000000"/>
                <w:sz w:val="24"/>
                <w:szCs w:val="24"/>
              </w:rPr>
              <w:t>.</w:t>
            </w:r>
          </w:p>
        </w:tc>
        <w:tc>
          <w:tcPr>
            <w:tcW w:w="9101" w:type="dxa"/>
          </w:tcPr>
          <w:p w14:paraId="74E9B835" w14:textId="76FB66FE" w:rsidR="004E34F0" w:rsidRPr="00DA3054" w:rsidRDefault="004E34F0" w:rsidP="004E34F0">
            <w:pPr>
              <w:jc w:val="both"/>
              <w:rPr>
                <w:rFonts w:cstheme="minorHAnsi"/>
                <w:bCs/>
                <w:color w:val="000000"/>
                <w:sz w:val="24"/>
                <w:szCs w:val="24"/>
              </w:rPr>
            </w:pPr>
            <w:bookmarkStart w:id="0" w:name="_Hlk156516339"/>
            <w:r w:rsidRPr="00DA3054">
              <w:rPr>
                <w:rFonts w:cstheme="minorHAnsi"/>
                <w:sz w:val="24"/>
                <w:szCs w:val="24"/>
              </w:rPr>
              <w:t>Implementation of Section 12A of the Weapons of Mass Destruction and their Delivery Systems (Prohibition of Unlawful Activities) Act, 2005: Designated List (Amendments)</w:t>
            </w:r>
            <w:bookmarkEnd w:id="0"/>
          </w:p>
        </w:tc>
      </w:tr>
      <w:tr w:rsidR="004E34F0" w:rsidRPr="00A16404" w14:paraId="0E8B1E96" w14:textId="77777777" w:rsidTr="00DA3054">
        <w:trPr>
          <w:trHeight w:val="201"/>
        </w:trPr>
        <w:tc>
          <w:tcPr>
            <w:tcW w:w="799" w:type="dxa"/>
          </w:tcPr>
          <w:p w14:paraId="230D9770" w14:textId="7817D6C5" w:rsidR="004E34F0" w:rsidRPr="00DA3054" w:rsidRDefault="004E34F0" w:rsidP="004E34F0">
            <w:pPr>
              <w:jc w:val="center"/>
              <w:rPr>
                <w:rFonts w:cstheme="minorHAnsi"/>
                <w:bCs/>
                <w:color w:val="000000"/>
                <w:sz w:val="24"/>
                <w:szCs w:val="24"/>
              </w:rPr>
            </w:pPr>
            <w:r w:rsidRPr="00DA3054">
              <w:rPr>
                <w:rFonts w:cstheme="minorHAnsi"/>
                <w:bCs/>
                <w:color w:val="000000"/>
                <w:sz w:val="24"/>
                <w:szCs w:val="24"/>
              </w:rPr>
              <w:t>2</w:t>
            </w:r>
            <w:r w:rsidR="00DA3054">
              <w:rPr>
                <w:rFonts w:cstheme="minorHAnsi"/>
                <w:bCs/>
                <w:color w:val="000000"/>
                <w:sz w:val="24"/>
                <w:szCs w:val="24"/>
              </w:rPr>
              <w:t>.</w:t>
            </w:r>
          </w:p>
        </w:tc>
        <w:tc>
          <w:tcPr>
            <w:tcW w:w="9101" w:type="dxa"/>
          </w:tcPr>
          <w:p w14:paraId="5B7765D9" w14:textId="25AB121D" w:rsidR="004E34F0" w:rsidRPr="00DA3054" w:rsidRDefault="004E34F0" w:rsidP="004E34F0">
            <w:pPr>
              <w:jc w:val="both"/>
              <w:rPr>
                <w:rFonts w:cstheme="minorHAnsi"/>
                <w:bCs/>
                <w:color w:val="000000"/>
                <w:sz w:val="24"/>
                <w:szCs w:val="24"/>
              </w:rPr>
            </w:pPr>
            <w:r w:rsidRPr="00DA3054">
              <w:rPr>
                <w:rFonts w:cstheme="minorHAnsi"/>
                <w:sz w:val="24"/>
                <w:szCs w:val="24"/>
              </w:rPr>
              <w:t>Amendment to the Master Direction (MD) on KYC</w:t>
            </w:r>
          </w:p>
        </w:tc>
      </w:tr>
      <w:tr w:rsidR="004E34F0" w:rsidRPr="00A16404" w14:paraId="0E01C9A0" w14:textId="77777777" w:rsidTr="00DA3054">
        <w:trPr>
          <w:trHeight w:val="402"/>
        </w:trPr>
        <w:tc>
          <w:tcPr>
            <w:tcW w:w="799" w:type="dxa"/>
          </w:tcPr>
          <w:p w14:paraId="4E39424F" w14:textId="45973BE7" w:rsidR="004E34F0" w:rsidRPr="00DA3054" w:rsidRDefault="004E34F0" w:rsidP="004E34F0">
            <w:pPr>
              <w:jc w:val="center"/>
              <w:rPr>
                <w:rFonts w:cstheme="minorHAnsi"/>
                <w:bCs/>
                <w:color w:val="000000"/>
                <w:sz w:val="24"/>
                <w:szCs w:val="24"/>
              </w:rPr>
            </w:pPr>
            <w:r w:rsidRPr="00DA3054">
              <w:rPr>
                <w:rFonts w:cstheme="minorHAnsi"/>
                <w:bCs/>
                <w:color w:val="000000"/>
                <w:sz w:val="24"/>
                <w:szCs w:val="24"/>
              </w:rPr>
              <w:t>3</w:t>
            </w:r>
            <w:r w:rsidR="00DA3054">
              <w:rPr>
                <w:rFonts w:cstheme="minorHAnsi"/>
                <w:bCs/>
                <w:color w:val="000000"/>
                <w:sz w:val="24"/>
                <w:szCs w:val="24"/>
              </w:rPr>
              <w:t>.</w:t>
            </w:r>
          </w:p>
        </w:tc>
        <w:tc>
          <w:tcPr>
            <w:tcW w:w="9101" w:type="dxa"/>
          </w:tcPr>
          <w:p w14:paraId="05B1B88E" w14:textId="2EE2B57B" w:rsidR="004E34F0" w:rsidRPr="00DA3054" w:rsidRDefault="004E34F0" w:rsidP="004E34F0">
            <w:pPr>
              <w:jc w:val="both"/>
              <w:rPr>
                <w:rFonts w:cstheme="minorHAnsi"/>
                <w:bCs/>
                <w:color w:val="000000"/>
                <w:sz w:val="24"/>
                <w:szCs w:val="24"/>
              </w:rPr>
            </w:pPr>
            <w:r w:rsidRPr="00DA3054">
              <w:rPr>
                <w:rFonts w:cstheme="minorHAnsi"/>
                <w:sz w:val="24"/>
                <w:szCs w:val="24"/>
              </w:rPr>
              <w:t>Master Direction on Information Technology Governance, Risk, Controls and Assurance Practices</w:t>
            </w:r>
          </w:p>
        </w:tc>
      </w:tr>
    </w:tbl>
    <w:p w14:paraId="2BE255CF" w14:textId="77777777" w:rsidR="00A16404" w:rsidRPr="00A16404" w:rsidRDefault="00A16404" w:rsidP="00A16404">
      <w:pPr>
        <w:spacing w:after="0"/>
        <w:jc w:val="both"/>
        <w:rPr>
          <w:rFonts w:ascii="Arial" w:hAnsi="Arial" w:cs="Arial"/>
          <w:bCs/>
          <w:color w:val="000000"/>
          <w:sz w:val="20"/>
          <w:szCs w:val="20"/>
        </w:rPr>
      </w:pPr>
    </w:p>
    <w:p w14:paraId="2502B7DF" w14:textId="77777777" w:rsidR="00A16404" w:rsidRDefault="00A16404" w:rsidP="00A16404">
      <w:pPr>
        <w:spacing w:after="0"/>
        <w:jc w:val="both"/>
        <w:rPr>
          <w:rFonts w:ascii="Arial" w:hAnsi="Arial" w:cs="Arial"/>
          <w:b/>
          <w:bCs/>
          <w:color w:val="000000"/>
          <w:sz w:val="20"/>
          <w:szCs w:val="20"/>
        </w:rPr>
      </w:pPr>
    </w:p>
    <w:p w14:paraId="7454BF66" w14:textId="2C1ACE90" w:rsidR="00A16404" w:rsidRDefault="00A16404" w:rsidP="00A16404">
      <w:pPr>
        <w:spacing w:after="0"/>
        <w:jc w:val="both"/>
        <w:rPr>
          <w:rFonts w:ascii="Arial" w:hAnsi="Arial" w:cs="Arial"/>
          <w:b/>
          <w:bCs/>
          <w:color w:val="000000"/>
          <w:sz w:val="20"/>
          <w:szCs w:val="20"/>
        </w:rPr>
      </w:pPr>
    </w:p>
    <w:p w14:paraId="1B733F5C" w14:textId="2F52661E" w:rsidR="004E34F0" w:rsidRDefault="004E34F0" w:rsidP="00A16404">
      <w:pPr>
        <w:spacing w:after="0"/>
        <w:jc w:val="both"/>
        <w:rPr>
          <w:rFonts w:ascii="Arial" w:hAnsi="Arial" w:cs="Arial"/>
          <w:b/>
          <w:bCs/>
          <w:color w:val="000000"/>
          <w:sz w:val="20"/>
          <w:szCs w:val="20"/>
        </w:rPr>
      </w:pPr>
    </w:p>
    <w:p w14:paraId="0724617F" w14:textId="19BCFB63" w:rsidR="004E34F0" w:rsidRDefault="004E34F0" w:rsidP="00A16404">
      <w:pPr>
        <w:spacing w:after="0"/>
        <w:jc w:val="both"/>
        <w:rPr>
          <w:rFonts w:ascii="Arial" w:hAnsi="Arial" w:cs="Arial"/>
          <w:b/>
          <w:bCs/>
          <w:color w:val="000000"/>
          <w:sz w:val="20"/>
          <w:szCs w:val="20"/>
        </w:rPr>
      </w:pPr>
    </w:p>
    <w:p w14:paraId="0204CBED" w14:textId="0D0FF71A" w:rsidR="004E34F0" w:rsidRDefault="004E34F0" w:rsidP="00A16404">
      <w:pPr>
        <w:spacing w:after="0"/>
        <w:jc w:val="both"/>
        <w:rPr>
          <w:rFonts w:ascii="Arial" w:hAnsi="Arial" w:cs="Arial"/>
          <w:b/>
          <w:bCs/>
          <w:color w:val="000000"/>
          <w:sz w:val="20"/>
          <w:szCs w:val="20"/>
        </w:rPr>
      </w:pPr>
    </w:p>
    <w:p w14:paraId="3887562C" w14:textId="3B01A985" w:rsidR="004E34F0" w:rsidRDefault="004E34F0" w:rsidP="00A16404">
      <w:pPr>
        <w:spacing w:after="0"/>
        <w:jc w:val="both"/>
        <w:rPr>
          <w:rFonts w:ascii="Arial" w:hAnsi="Arial" w:cs="Arial"/>
          <w:b/>
          <w:bCs/>
          <w:color w:val="000000"/>
          <w:sz w:val="20"/>
          <w:szCs w:val="20"/>
        </w:rPr>
      </w:pPr>
    </w:p>
    <w:p w14:paraId="49D1322D" w14:textId="797EC089" w:rsidR="004E34F0" w:rsidRDefault="004E34F0" w:rsidP="00A16404">
      <w:pPr>
        <w:spacing w:after="0"/>
        <w:jc w:val="both"/>
        <w:rPr>
          <w:rFonts w:ascii="Arial" w:hAnsi="Arial" w:cs="Arial"/>
          <w:b/>
          <w:bCs/>
          <w:color w:val="000000"/>
          <w:sz w:val="20"/>
          <w:szCs w:val="20"/>
        </w:rPr>
      </w:pPr>
    </w:p>
    <w:p w14:paraId="0EAD3FF5" w14:textId="277B5AF8" w:rsidR="004E34F0" w:rsidRDefault="004E34F0" w:rsidP="00A16404">
      <w:pPr>
        <w:spacing w:after="0"/>
        <w:jc w:val="both"/>
        <w:rPr>
          <w:rFonts w:ascii="Arial" w:hAnsi="Arial" w:cs="Arial"/>
          <w:b/>
          <w:bCs/>
          <w:color w:val="000000"/>
          <w:sz w:val="20"/>
          <w:szCs w:val="20"/>
        </w:rPr>
      </w:pPr>
    </w:p>
    <w:p w14:paraId="425DA214" w14:textId="1D1FA5C5" w:rsidR="004E34F0" w:rsidRDefault="004E34F0" w:rsidP="00A16404">
      <w:pPr>
        <w:spacing w:after="0"/>
        <w:jc w:val="both"/>
        <w:rPr>
          <w:rFonts w:ascii="Arial" w:hAnsi="Arial" w:cs="Arial"/>
          <w:b/>
          <w:bCs/>
          <w:color w:val="000000"/>
          <w:sz w:val="20"/>
          <w:szCs w:val="20"/>
        </w:rPr>
      </w:pPr>
    </w:p>
    <w:p w14:paraId="62273B80" w14:textId="16227B8A" w:rsidR="004E34F0" w:rsidRDefault="004E34F0" w:rsidP="00A16404">
      <w:pPr>
        <w:spacing w:after="0"/>
        <w:jc w:val="both"/>
        <w:rPr>
          <w:rFonts w:ascii="Arial" w:hAnsi="Arial" w:cs="Arial"/>
          <w:b/>
          <w:bCs/>
          <w:color w:val="000000"/>
          <w:sz w:val="20"/>
          <w:szCs w:val="20"/>
        </w:rPr>
      </w:pPr>
    </w:p>
    <w:p w14:paraId="43EA0F09" w14:textId="054FA510" w:rsidR="004E34F0" w:rsidRDefault="004E34F0" w:rsidP="00A16404">
      <w:pPr>
        <w:spacing w:after="0"/>
        <w:jc w:val="both"/>
        <w:rPr>
          <w:rFonts w:ascii="Arial" w:hAnsi="Arial" w:cs="Arial"/>
          <w:b/>
          <w:bCs/>
          <w:color w:val="000000"/>
          <w:sz w:val="20"/>
          <w:szCs w:val="20"/>
        </w:rPr>
      </w:pPr>
    </w:p>
    <w:p w14:paraId="5B7C13A7" w14:textId="420ADA64" w:rsidR="004E34F0" w:rsidRDefault="004E34F0" w:rsidP="00A16404">
      <w:pPr>
        <w:spacing w:after="0"/>
        <w:jc w:val="both"/>
        <w:rPr>
          <w:rFonts w:ascii="Arial" w:hAnsi="Arial" w:cs="Arial"/>
          <w:b/>
          <w:bCs/>
          <w:color w:val="000000"/>
          <w:sz w:val="20"/>
          <w:szCs w:val="20"/>
        </w:rPr>
      </w:pPr>
    </w:p>
    <w:p w14:paraId="3568F74F" w14:textId="16E46865" w:rsidR="004E34F0" w:rsidRDefault="004E34F0" w:rsidP="00A16404">
      <w:pPr>
        <w:spacing w:after="0"/>
        <w:jc w:val="both"/>
        <w:rPr>
          <w:rFonts w:ascii="Arial" w:hAnsi="Arial" w:cs="Arial"/>
          <w:b/>
          <w:bCs/>
          <w:color w:val="000000"/>
          <w:sz w:val="20"/>
          <w:szCs w:val="20"/>
        </w:rPr>
      </w:pPr>
    </w:p>
    <w:p w14:paraId="5385A43C" w14:textId="48FA7ED1" w:rsidR="004E34F0" w:rsidRDefault="004E34F0" w:rsidP="00A16404">
      <w:pPr>
        <w:spacing w:after="0"/>
        <w:jc w:val="both"/>
        <w:rPr>
          <w:rFonts w:ascii="Arial" w:hAnsi="Arial" w:cs="Arial"/>
          <w:b/>
          <w:bCs/>
          <w:color w:val="000000"/>
          <w:sz w:val="20"/>
          <w:szCs w:val="20"/>
        </w:rPr>
      </w:pPr>
    </w:p>
    <w:p w14:paraId="4CDFFCC7" w14:textId="47F14ADD" w:rsidR="004E34F0" w:rsidRDefault="004E34F0" w:rsidP="00A16404">
      <w:pPr>
        <w:spacing w:after="0"/>
        <w:jc w:val="both"/>
        <w:rPr>
          <w:rFonts w:ascii="Arial" w:hAnsi="Arial" w:cs="Arial"/>
          <w:b/>
          <w:bCs/>
          <w:color w:val="000000"/>
          <w:sz w:val="20"/>
          <w:szCs w:val="20"/>
        </w:rPr>
      </w:pPr>
    </w:p>
    <w:p w14:paraId="0ED1E1B2" w14:textId="24CC223D" w:rsidR="004E34F0" w:rsidRDefault="004E34F0" w:rsidP="00A16404">
      <w:pPr>
        <w:spacing w:after="0"/>
        <w:jc w:val="both"/>
        <w:rPr>
          <w:rFonts w:ascii="Arial" w:hAnsi="Arial" w:cs="Arial"/>
          <w:b/>
          <w:bCs/>
          <w:color w:val="000000"/>
          <w:sz w:val="20"/>
          <w:szCs w:val="20"/>
        </w:rPr>
      </w:pPr>
    </w:p>
    <w:p w14:paraId="464A36F5" w14:textId="282B22B5" w:rsidR="004E34F0" w:rsidRDefault="004E34F0" w:rsidP="00A16404">
      <w:pPr>
        <w:spacing w:after="0"/>
        <w:jc w:val="both"/>
        <w:rPr>
          <w:rFonts w:ascii="Arial" w:hAnsi="Arial" w:cs="Arial"/>
          <w:b/>
          <w:bCs/>
          <w:color w:val="000000"/>
          <w:sz w:val="20"/>
          <w:szCs w:val="20"/>
        </w:rPr>
      </w:pPr>
    </w:p>
    <w:p w14:paraId="19DF3B18" w14:textId="23EACA2F" w:rsidR="004E34F0" w:rsidRDefault="004E34F0" w:rsidP="00A16404">
      <w:pPr>
        <w:spacing w:after="0"/>
        <w:jc w:val="both"/>
        <w:rPr>
          <w:rFonts w:ascii="Arial" w:hAnsi="Arial" w:cs="Arial"/>
          <w:b/>
          <w:bCs/>
          <w:color w:val="000000"/>
          <w:sz w:val="20"/>
          <w:szCs w:val="20"/>
        </w:rPr>
      </w:pPr>
    </w:p>
    <w:p w14:paraId="015B24FA" w14:textId="20A62B44" w:rsidR="004E34F0" w:rsidRDefault="004E34F0" w:rsidP="00A16404">
      <w:pPr>
        <w:spacing w:after="0"/>
        <w:jc w:val="both"/>
        <w:rPr>
          <w:rFonts w:ascii="Arial" w:hAnsi="Arial" w:cs="Arial"/>
          <w:b/>
          <w:bCs/>
          <w:color w:val="000000"/>
          <w:sz w:val="20"/>
          <w:szCs w:val="20"/>
        </w:rPr>
      </w:pPr>
    </w:p>
    <w:p w14:paraId="21D69C22" w14:textId="41308DD2" w:rsidR="004E34F0" w:rsidRDefault="004E34F0" w:rsidP="00A16404">
      <w:pPr>
        <w:spacing w:after="0"/>
        <w:jc w:val="both"/>
        <w:rPr>
          <w:rFonts w:ascii="Arial" w:hAnsi="Arial" w:cs="Arial"/>
          <w:b/>
          <w:bCs/>
          <w:color w:val="000000"/>
          <w:sz w:val="20"/>
          <w:szCs w:val="20"/>
        </w:rPr>
      </w:pPr>
    </w:p>
    <w:p w14:paraId="7EBD7BBA" w14:textId="46408D33" w:rsidR="004E34F0" w:rsidRDefault="004E34F0" w:rsidP="00A16404">
      <w:pPr>
        <w:spacing w:after="0"/>
        <w:jc w:val="both"/>
        <w:rPr>
          <w:rFonts w:ascii="Arial" w:hAnsi="Arial" w:cs="Arial"/>
          <w:b/>
          <w:bCs/>
          <w:color w:val="000000"/>
          <w:sz w:val="20"/>
          <w:szCs w:val="20"/>
        </w:rPr>
      </w:pPr>
    </w:p>
    <w:p w14:paraId="3575B678" w14:textId="7FE5E45E" w:rsidR="004E34F0" w:rsidRDefault="004E34F0" w:rsidP="00A16404">
      <w:pPr>
        <w:spacing w:after="0"/>
        <w:jc w:val="both"/>
        <w:rPr>
          <w:rFonts w:ascii="Arial" w:hAnsi="Arial" w:cs="Arial"/>
          <w:b/>
          <w:bCs/>
          <w:color w:val="000000"/>
          <w:sz w:val="20"/>
          <w:szCs w:val="20"/>
        </w:rPr>
      </w:pPr>
    </w:p>
    <w:p w14:paraId="3176F4FE" w14:textId="3BA17E14" w:rsidR="004E34F0" w:rsidRDefault="004E34F0" w:rsidP="00A16404">
      <w:pPr>
        <w:spacing w:after="0"/>
        <w:jc w:val="both"/>
        <w:rPr>
          <w:rFonts w:ascii="Arial" w:hAnsi="Arial" w:cs="Arial"/>
          <w:b/>
          <w:bCs/>
          <w:color w:val="000000"/>
          <w:sz w:val="20"/>
          <w:szCs w:val="20"/>
        </w:rPr>
      </w:pPr>
    </w:p>
    <w:p w14:paraId="3D6E9BE2" w14:textId="575F060A" w:rsidR="004E34F0" w:rsidRDefault="004E34F0" w:rsidP="00A16404">
      <w:pPr>
        <w:spacing w:after="0"/>
        <w:jc w:val="both"/>
        <w:rPr>
          <w:rFonts w:ascii="Arial" w:hAnsi="Arial" w:cs="Arial"/>
          <w:b/>
          <w:bCs/>
          <w:color w:val="000000"/>
          <w:sz w:val="20"/>
          <w:szCs w:val="20"/>
        </w:rPr>
      </w:pPr>
    </w:p>
    <w:p w14:paraId="73779EC6" w14:textId="4F12F668" w:rsidR="004E34F0" w:rsidRDefault="004E34F0" w:rsidP="00A16404">
      <w:pPr>
        <w:spacing w:after="0"/>
        <w:jc w:val="both"/>
        <w:rPr>
          <w:rFonts w:ascii="Arial" w:hAnsi="Arial" w:cs="Arial"/>
          <w:b/>
          <w:bCs/>
          <w:color w:val="000000"/>
          <w:sz w:val="20"/>
          <w:szCs w:val="20"/>
        </w:rPr>
      </w:pPr>
    </w:p>
    <w:p w14:paraId="2583E3F3" w14:textId="4FCCB7E5" w:rsidR="004E34F0" w:rsidRDefault="004E34F0" w:rsidP="00A16404">
      <w:pPr>
        <w:spacing w:after="0"/>
        <w:jc w:val="both"/>
        <w:rPr>
          <w:rFonts w:ascii="Arial" w:hAnsi="Arial" w:cs="Arial"/>
          <w:b/>
          <w:bCs/>
          <w:color w:val="000000"/>
          <w:sz w:val="20"/>
          <w:szCs w:val="20"/>
        </w:rPr>
      </w:pPr>
    </w:p>
    <w:p w14:paraId="7BB7A521" w14:textId="4F46D421" w:rsidR="004E34F0" w:rsidRDefault="004E34F0" w:rsidP="00A16404">
      <w:pPr>
        <w:spacing w:after="0"/>
        <w:jc w:val="both"/>
        <w:rPr>
          <w:rFonts w:ascii="Arial" w:hAnsi="Arial" w:cs="Arial"/>
          <w:b/>
          <w:bCs/>
          <w:color w:val="000000"/>
          <w:sz w:val="20"/>
          <w:szCs w:val="20"/>
        </w:rPr>
      </w:pPr>
    </w:p>
    <w:p w14:paraId="6B44DA9D" w14:textId="4B83B710" w:rsidR="004E34F0" w:rsidRDefault="004E34F0" w:rsidP="00A16404">
      <w:pPr>
        <w:spacing w:after="0"/>
        <w:jc w:val="both"/>
        <w:rPr>
          <w:rFonts w:ascii="Arial" w:hAnsi="Arial" w:cs="Arial"/>
          <w:b/>
          <w:bCs/>
          <w:color w:val="000000"/>
          <w:sz w:val="20"/>
          <w:szCs w:val="20"/>
        </w:rPr>
      </w:pPr>
    </w:p>
    <w:p w14:paraId="1712CEBC" w14:textId="4791C7AE" w:rsidR="004E34F0" w:rsidRDefault="004E34F0" w:rsidP="00A16404">
      <w:pPr>
        <w:spacing w:after="0"/>
        <w:jc w:val="both"/>
        <w:rPr>
          <w:rFonts w:ascii="Arial" w:hAnsi="Arial" w:cs="Arial"/>
          <w:b/>
          <w:bCs/>
          <w:color w:val="000000"/>
          <w:sz w:val="20"/>
          <w:szCs w:val="20"/>
        </w:rPr>
      </w:pPr>
    </w:p>
    <w:p w14:paraId="3EA63FB1" w14:textId="0AE64F35" w:rsidR="004E34F0" w:rsidRDefault="004E34F0" w:rsidP="00A16404">
      <w:pPr>
        <w:spacing w:after="0"/>
        <w:jc w:val="both"/>
        <w:rPr>
          <w:rFonts w:ascii="Arial" w:hAnsi="Arial" w:cs="Arial"/>
          <w:b/>
          <w:bCs/>
          <w:color w:val="000000"/>
          <w:sz w:val="20"/>
          <w:szCs w:val="20"/>
        </w:rPr>
      </w:pPr>
    </w:p>
    <w:p w14:paraId="407958EE" w14:textId="0A55708A" w:rsidR="004E34F0" w:rsidRDefault="004E34F0" w:rsidP="00A16404">
      <w:pPr>
        <w:spacing w:after="0"/>
        <w:jc w:val="both"/>
        <w:rPr>
          <w:rFonts w:ascii="Arial" w:hAnsi="Arial" w:cs="Arial"/>
          <w:b/>
          <w:bCs/>
          <w:color w:val="000000"/>
          <w:sz w:val="20"/>
          <w:szCs w:val="20"/>
        </w:rPr>
      </w:pPr>
    </w:p>
    <w:p w14:paraId="0ACB1BF4" w14:textId="2CFC0D80" w:rsidR="004E34F0" w:rsidRDefault="004E34F0" w:rsidP="00A16404">
      <w:pPr>
        <w:spacing w:after="0"/>
        <w:jc w:val="both"/>
        <w:rPr>
          <w:rFonts w:ascii="Arial" w:hAnsi="Arial" w:cs="Arial"/>
          <w:b/>
          <w:bCs/>
          <w:color w:val="000000"/>
          <w:sz w:val="20"/>
          <w:szCs w:val="20"/>
        </w:rPr>
      </w:pPr>
    </w:p>
    <w:p w14:paraId="5C9EA145" w14:textId="4C9DAFA1" w:rsidR="004E34F0" w:rsidRDefault="004E34F0" w:rsidP="00A16404">
      <w:pPr>
        <w:spacing w:after="0"/>
        <w:jc w:val="both"/>
        <w:rPr>
          <w:rFonts w:ascii="Arial" w:hAnsi="Arial" w:cs="Arial"/>
          <w:b/>
          <w:bCs/>
          <w:color w:val="000000"/>
          <w:sz w:val="20"/>
          <w:szCs w:val="20"/>
        </w:rPr>
      </w:pPr>
    </w:p>
    <w:p w14:paraId="58678BFA" w14:textId="1771E385" w:rsidR="004E34F0" w:rsidRDefault="004E34F0" w:rsidP="00A16404">
      <w:pPr>
        <w:spacing w:after="0"/>
        <w:jc w:val="both"/>
        <w:rPr>
          <w:rFonts w:ascii="Arial" w:hAnsi="Arial" w:cs="Arial"/>
          <w:b/>
          <w:bCs/>
          <w:color w:val="000000"/>
          <w:sz w:val="20"/>
          <w:szCs w:val="20"/>
        </w:rPr>
      </w:pPr>
    </w:p>
    <w:p w14:paraId="073215CC" w14:textId="277AFA98" w:rsidR="004E34F0" w:rsidRDefault="004E34F0" w:rsidP="00A16404">
      <w:pPr>
        <w:spacing w:after="0"/>
        <w:jc w:val="both"/>
        <w:rPr>
          <w:rFonts w:ascii="Arial" w:hAnsi="Arial" w:cs="Arial"/>
          <w:b/>
          <w:bCs/>
          <w:color w:val="000000"/>
          <w:sz w:val="20"/>
          <w:szCs w:val="20"/>
        </w:rPr>
      </w:pPr>
    </w:p>
    <w:p w14:paraId="33EC57A3" w14:textId="0CEAC775" w:rsidR="004E34F0" w:rsidRDefault="004E34F0" w:rsidP="00A16404">
      <w:pPr>
        <w:spacing w:after="0"/>
        <w:jc w:val="both"/>
        <w:rPr>
          <w:rFonts w:ascii="Arial" w:hAnsi="Arial" w:cs="Arial"/>
          <w:b/>
          <w:bCs/>
          <w:color w:val="000000"/>
          <w:sz w:val="20"/>
          <w:szCs w:val="20"/>
        </w:rPr>
      </w:pPr>
    </w:p>
    <w:p w14:paraId="25F292AC" w14:textId="65F188AE" w:rsidR="004E34F0" w:rsidRDefault="004E34F0" w:rsidP="00A16404">
      <w:pPr>
        <w:spacing w:after="0"/>
        <w:jc w:val="both"/>
        <w:rPr>
          <w:rFonts w:ascii="Arial" w:hAnsi="Arial" w:cs="Arial"/>
          <w:b/>
          <w:bCs/>
          <w:color w:val="000000"/>
          <w:sz w:val="20"/>
          <w:szCs w:val="20"/>
        </w:rPr>
      </w:pPr>
    </w:p>
    <w:p w14:paraId="7E155DE3" w14:textId="14BFD623" w:rsidR="004E34F0" w:rsidRDefault="004E34F0" w:rsidP="00A16404">
      <w:pPr>
        <w:spacing w:after="0"/>
        <w:jc w:val="both"/>
        <w:rPr>
          <w:rFonts w:ascii="Arial" w:hAnsi="Arial" w:cs="Arial"/>
          <w:b/>
          <w:bCs/>
          <w:color w:val="000000"/>
          <w:sz w:val="20"/>
          <w:szCs w:val="20"/>
        </w:rPr>
      </w:pPr>
    </w:p>
    <w:p w14:paraId="1E86BC2E" w14:textId="31EE04C8" w:rsidR="004E34F0" w:rsidRDefault="004E34F0" w:rsidP="00A16404">
      <w:pPr>
        <w:spacing w:after="0"/>
        <w:jc w:val="both"/>
        <w:rPr>
          <w:rFonts w:ascii="Arial" w:hAnsi="Arial" w:cs="Arial"/>
          <w:b/>
          <w:bCs/>
          <w:color w:val="000000"/>
          <w:sz w:val="20"/>
          <w:szCs w:val="20"/>
        </w:rPr>
      </w:pPr>
    </w:p>
    <w:p w14:paraId="133A3EDB" w14:textId="3C8A1500" w:rsidR="004E34F0" w:rsidRDefault="004E34F0" w:rsidP="00A16404">
      <w:pPr>
        <w:spacing w:after="0"/>
        <w:jc w:val="both"/>
        <w:rPr>
          <w:rFonts w:ascii="Arial" w:hAnsi="Arial" w:cs="Arial"/>
          <w:b/>
          <w:bCs/>
          <w:color w:val="000000"/>
          <w:sz w:val="20"/>
          <w:szCs w:val="20"/>
        </w:rPr>
      </w:pPr>
    </w:p>
    <w:p w14:paraId="185478BE" w14:textId="7BA8DF65" w:rsidR="004E34F0" w:rsidRDefault="004E34F0" w:rsidP="00A16404">
      <w:pPr>
        <w:spacing w:after="0"/>
        <w:jc w:val="both"/>
        <w:rPr>
          <w:rFonts w:ascii="Arial" w:hAnsi="Arial" w:cs="Arial"/>
          <w:b/>
          <w:bCs/>
          <w:color w:val="000000"/>
          <w:sz w:val="20"/>
          <w:szCs w:val="20"/>
        </w:rPr>
      </w:pPr>
    </w:p>
    <w:p w14:paraId="188F25BF" w14:textId="46A7D432" w:rsidR="004E34F0" w:rsidRDefault="004E34F0" w:rsidP="00A16404">
      <w:pPr>
        <w:spacing w:after="0"/>
        <w:jc w:val="both"/>
        <w:rPr>
          <w:rFonts w:ascii="Arial" w:hAnsi="Arial" w:cs="Arial"/>
          <w:b/>
          <w:bCs/>
          <w:color w:val="000000"/>
          <w:sz w:val="20"/>
          <w:szCs w:val="20"/>
        </w:rPr>
      </w:pPr>
    </w:p>
    <w:p w14:paraId="2F846AC4" w14:textId="0600AA90" w:rsidR="004E34F0" w:rsidRDefault="004E34F0" w:rsidP="00A16404">
      <w:pPr>
        <w:spacing w:after="0"/>
        <w:jc w:val="both"/>
        <w:rPr>
          <w:rFonts w:ascii="Arial" w:hAnsi="Arial" w:cs="Arial"/>
          <w:b/>
          <w:bCs/>
          <w:color w:val="000000"/>
          <w:sz w:val="20"/>
          <w:szCs w:val="20"/>
        </w:rPr>
      </w:pPr>
    </w:p>
    <w:p w14:paraId="629C031E" w14:textId="16308791" w:rsidR="004E34F0" w:rsidRDefault="004E34F0" w:rsidP="00A16404">
      <w:pPr>
        <w:spacing w:after="0"/>
        <w:jc w:val="both"/>
        <w:rPr>
          <w:rFonts w:ascii="Arial" w:hAnsi="Arial" w:cs="Arial"/>
          <w:b/>
          <w:bCs/>
          <w:color w:val="000000"/>
          <w:sz w:val="20"/>
          <w:szCs w:val="20"/>
        </w:rPr>
      </w:pPr>
    </w:p>
    <w:p w14:paraId="5ECD8E34" w14:textId="0ED55A81" w:rsidR="004E34F0" w:rsidRDefault="004E34F0" w:rsidP="00A16404">
      <w:pPr>
        <w:spacing w:after="0"/>
        <w:jc w:val="both"/>
        <w:rPr>
          <w:rFonts w:ascii="Arial" w:hAnsi="Arial" w:cs="Arial"/>
          <w:b/>
          <w:bCs/>
          <w:color w:val="000000"/>
          <w:sz w:val="20"/>
          <w:szCs w:val="20"/>
        </w:rPr>
      </w:pPr>
    </w:p>
    <w:p w14:paraId="01041B38" w14:textId="472A02FC" w:rsidR="004E34F0" w:rsidRPr="00DA3054" w:rsidRDefault="00081A9A" w:rsidP="00A16404">
      <w:pPr>
        <w:spacing w:after="0"/>
        <w:jc w:val="both"/>
        <w:rPr>
          <w:b/>
          <w:bCs/>
          <w:sz w:val="24"/>
          <w:szCs w:val="24"/>
        </w:rPr>
      </w:pPr>
      <w:r w:rsidRPr="00DA3054">
        <w:rPr>
          <w:b/>
          <w:bCs/>
          <w:sz w:val="24"/>
          <w:szCs w:val="24"/>
        </w:rPr>
        <w:lastRenderedPageBreak/>
        <w:t>Implementation of Section 12A of the Weapons of Mass Destruction and their Delivery Systems (Prohibition of Unlawful Activities) Act, 2005: Designated List (Amendments)</w:t>
      </w:r>
    </w:p>
    <w:p w14:paraId="31C15D75" w14:textId="77777777" w:rsidR="00081A9A" w:rsidRPr="00DA3054" w:rsidRDefault="00081A9A" w:rsidP="00A16404">
      <w:pPr>
        <w:spacing w:after="0"/>
        <w:jc w:val="both"/>
        <w:rPr>
          <w:rFonts w:ascii="Arial" w:hAnsi="Arial" w:cs="Arial"/>
          <w:b/>
          <w:bCs/>
          <w:color w:val="000000"/>
          <w:sz w:val="24"/>
          <w:szCs w:val="24"/>
        </w:rPr>
      </w:pPr>
    </w:p>
    <w:p w14:paraId="183034C9"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RBI/2023-24/56</w:t>
      </w:r>
      <w:r w:rsidRPr="00081A9A">
        <w:rPr>
          <w:rFonts w:ascii="Arial" w:eastAsia="Times New Roman" w:hAnsi="Arial" w:cs="Arial"/>
          <w:color w:val="000000"/>
          <w:sz w:val="20"/>
          <w:szCs w:val="20"/>
          <w:lang w:eastAsia="en-IN"/>
        </w:rPr>
        <w:br/>
        <w:t>DOR.AML.REC.33/14.06.001/2023-24</w:t>
      </w:r>
    </w:p>
    <w:p w14:paraId="0C65C2A3" w14:textId="77777777" w:rsidR="00081A9A" w:rsidRPr="00081A9A" w:rsidRDefault="00081A9A" w:rsidP="00081A9A">
      <w:pPr>
        <w:spacing w:before="75" w:after="120" w:line="240" w:lineRule="auto"/>
        <w:ind w:left="75" w:right="75"/>
        <w:jc w:val="right"/>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August 18, 2023</w:t>
      </w:r>
    </w:p>
    <w:p w14:paraId="36E8A2DC"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The Chairpersons/ CEOs of all the Regulated Entities</w:t>
      </w:r>
    </w:p>
    <w:p w14:paraId="15BC9BE1"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Madam/Dear Sir,</w:t>
      </w:r>
    </w:p>
    <w:p w14:paraId="7FB4C4ED" w14:textId="77777777" w:rsidR="00081A9A" w:rsidRPr="00081A9A" w:rsidRDefault="00081A9A" w:rsidP="00081A9A">
      <w:pPr>
        <w:spacing w:before="75" w:after="120" w:line="240" w:lineRule="auto"/>
        <w:ind w:left="75" w:right="75"/>
        <w:jc w:val="both"/>
        <w:rPr>
          <w:rFonts w:ascii="Arial" w:eastAsia="Times New Roman" w:hAnsi="Arial" w:cs="Arial"/>
          <w:b/>
          <w:bCs/>
          <w:color w:val="000000"/>
          <w:sz w:val="20"/>
          <w:szCs w:val="20"/>
          <w:lang w:eastAsia="en-IN"/>
        </w:rPr>
      </w:pPr>
      <w:r w:rsidRPr="00081A9A">
        <w:rPr>
          <w:rFonts w:ascii="Arial" w:eastAsia="Times New Roman" w:hAnsi="Arial" w:cs="Arial"/>
          <w:b/>
          <w:bCs/>
          <w:color w:val="000000"/>
          <w:sz w:val="20"/>
          <w:szCs w:val="20"/>
          <w:lang w:eastAsia="en-IN"/>
        </w:rPr>
        <w:t>Implementation of Section 12A of the Weapons of Mass Destruction and their Delivery Systems (Prohibition of Unlawful Activities) Act, 2005: Designated List (Amendments)</w:t>
      </w:r>
    </w:p>
    <w:p w14:paraId="54F3AF28"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Please refer to Section 52 of our </w:t>
      </w:r>
      <w:hyperlink r:id="rId4" w:tgtFrame="_blank" w:history="1">
        <w:r w:rsidRPr="00081A9A">
          <w:rPr>
            <w:rFonts w:ascii="Arial" w:eastAsia="Times New Roman" w:hAnsi="Arial" w:cs="Arial"/>
            <w:color w:val="0000FF"/>
            <w:sz w:val="20"/>
            <w:szCs w:val="20"/>
            <w:u w:val="single"/>
            <w:lang w:eastAsia="en-IN"/>
          </w:rPr>
          <w:t>Master Direction on Know Your Customer dated February 25, 2016</w:t>
        </w:r>
      </w:hyperlink>
      <w:r w:rsidRPr="00081A9A">
        <w:rPr>
          <w:rFonts w:ascii="Arial" w:eastAsia="Times New Roman" w:hAnsi="Arial" w:cs="Arial"/>
          <w:color w:val="000000"/>
          <w:sz w:val="20"/>
          <w:szCs w:val="20"/>
          <w:lang w:eastAsia="en-IN"/>
        </w:rPr>
        <w:t> as amended on May 04 , 2023 (MD on KYC), in terms of which, inter alia, “REs shall ensure meticulous compliance with the “Procedure for Implementation of Section 12A of the Weapons of Mass Destruction (WMD) and their Delivery Systems (Prohibition of Unlawful Activities) Act, 2005” laid down in terms of Section 12A of the WMD Act, 2005 vide Order dated January 30, 2023, by the Ministry of Finance, Government of India (Annex III of the Master Direction on Know Your Customer).”</w:t>
      </w:r>
    </w:p>
    <w:p w14:paraId="23938380"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2. Further, in terms of Section 53 of our MD on KYC, “REs shall verify every day, the ‘UNSCR 1718 Sanctions List of Designated Individuals and Entities‘, as available at </w:t>
      </w:r>
      <w:hyperlink r:id="rId5" w:tgtFrame="_blank" w:history="1">
        <w:r w:rsidRPr="00081A9A">
          <w:rPr>
            <w:rFonts w:ascii="Arial" w:eastAsia="Times New Roman" w:hAnsi="Arial" w:cs="Arial"/>
            <w:color w:val="0000FF"/>
            <w:sz w:val="20"/>
            <w:szCs w:val="20"/>
            <w:u w:val="single"/>
            <w:lang w:eastAsia="en-IN"/>
          </w:rPr>
          <w:t>https://www.mea.gov.in/Implementation-of-UNSC-Sanctions-DPRK.htm</w:t>
        </w:r>
      </w:hyperlink>
      <w:r w:rsidRPr="00081A9A">
        <w:rPr>
          <w:rFonts w:ascii="Arial" w:eastAsia="Times New Roman" w:hAnsi="Arial" w:cs="Arial"/>
          <w:color w:val="000000"/>
          <w:sz w:val="20"/>
          <w:szCs w:val="20"/>
          <w:lang w:eastAsia="en-IN"/>
        </w:rPr>
        <w:t>, to take into account any modifications to the list in terms of additions, deletions or other changes and also ensure compliance with the ‘Implementation of Security Council Resolution on Democratic People’s Republic of Korea Order, 2017’, as amended from time to time by the Central Government”.</w:t>
      </w:r>
    </w:p>
    <w:p w14:paraId="6D28838A"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3. A reference is also invited to our </w:t>
      </w:r>
      <w:hyperlink r:id="rId6" w:tgtFrame="_blank" w:history="1">
        <w:r w:rsidRPr="00081A9A">
          <w:rPr>
            <w:rFonts w:ascii="Arial" w:eastAsia="Times New Roman" w:hAnsi="Arial" w:cs="Arial"/>
            <w:color w:val="0000FF"/>
            <w:sz w:val="20"/>
            <w:szCs w:val="20"/>
            <w:u w:val="single"/>
            <w:lang w:eastAsia="en-IN"/>
          </w:rPr>
          <w:t>circular DOR.AML.REC.23/14.06.001/2023-24 dated July 04, 2023</w:t>
        </w:r>
      </w:hyperlink>
      <w:r w:rsidRPr="00081A9A">
        <w:rPr>
          <w:rFonts w:ascii="Arial" w:eastAsia="Times New Roman" w:hAnsi="Arial" w:cs="Arial"/>
          <w:color w:val="000000"/>
          <w:sz w:val="20"/>
          <w:szCs w:val="20"/>
          <w:lang w:eastAsia="en-IN"/>
        </w:rPr>
        <w:t>, communicating thereby the Consolidated List of UNSC Designated / Sanctioned Individuals and Entities under the UNSC Resolutions relating to non-proliferation. Certain amendments to the entries in the List were notified vide our </w:t>
      </w:r>
      <w:hyperlink r:id="rId7" w:tgtFrame="_blank" w:history="1">
        <w:r w:rsidRPr="00081A9A">
          <w:rPr>
            <w:rFonts w:ascii="Arial" w:eastAsia="Times New Roman" w:hAnsi="Arial" w:cs="Arial"/>
            <w:color w:val="0000FF"/>
            <w:sz w:val="20"/>
            <w:szCs w:val="20"/>
            <w:u w:val="single"/>
            <w:lang w:eastAsia="en-IN"/>
          </w:rPr>
          <w:t>circular DOR. AML.REC.24/14.06.001/2023-24 dated July 04, 2023</w:t>
        </w:r>
      </w:hyperlink>
      <w:r w:rsidRPr="00081A9A">
        <w:rPr>
          <w:rFonts w:ascii="Arial" w:eastAsia="Times New Roman" w:hAnsi="Arial" w:cs="Arial"/>
          <w:color w:val="000000"/>
          <w:sz w:val="20"/>
          <w:szCs w:val="20"/>
          <w:lang w:eastAsia="en-IN"/>
        </w:rPr>
        <w:t>.</w:t>
      </w:r>
    </w:p>
    <w:p w14:paraId="464B2E42"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4. In this regard, Ministry of External Affairs (MEA), GoI has informed that the UNSC Committee established pursuant to resolution 1718(2006) enacted the amendments, specified with strikethrough and/or underline in certain entries on its Sanctions List of individuals and entities (</w:t>
      </w:r>
      <w:hyperlink r:id="rId8" w:tgtFrame="_blank" w:history="1">
        <w:r w:rsidRPr="00081A9A">
          <w:rPr>
            <w:rFonts w:ascii="Arial" w:eastAsia="Times New Roman" w:hAnsi="Arial" w:cs="Arial"/>
            <w:color w:val="0000FF"/>
            <w:sz w:val="20"/>
            <w:szCs w:val="20"/>
            <w:u w:val="single"/>
            <w:lang w:eastAsia="en-IN"/>
          </w:rPr>
          <w:t>enclosed</w:t>
        </w:r>
      </w:hyperlink>
      <w:r w:rsidRPr="00081A9A">
        <w:rPr>
          <w:rFonts w:ascii="Arial" w:eastAsia="Times New Roman" w:hAnsi="Arial" w:cs="Arial"/>
          <w:color w:val="000000"/>
          <w:sz w:val="20"/>
          <w:szCs w:val="20"/>
          <w:lang w:eastAsia="en-IN"/>
        </w:rPr>
        <w:t> with this circular). Hence, the ‘</w:t>
      </w:r>
      <w:r w:rsidRPr="00081A9A">
        <w:rPr>
          <w:rFonts w:ascii="Arial" w:eastAsia="Times New Roman" w:hAnsi="Arial" w:cs="Arial"/>
          <w:b/>
          <w:bCs/>
          <w:color w:val="000000"/>
          <w:sz w:val="20"/>
          <w:szCs w:val="20"/>
          <w:lang w:eastAsia="en-IN"/>
        </w:rPr>
        <w:t>designated list</w:t>
      </w:r>
      <w:r w:rsidRPr="00081A9A">
        <w:rPr>
          <w:rFonts w:ascii="Arial" w:eastAsia="Times New Roman" w:hAnsi="Arial" w:cs="Arial"/>
          <w:color w:val="000000"/>
          <w:sz w:val="20"/>
          <w:szCs w:val="20"/>
          <w:lang w:eastAsia="en-IN"/>
        </w:rPr>
        <w:t>’ (as referred in Para 2.1 and other relevant paras of the aforementioned Order dated January 30, 2023) communicated vide our </w:t>
      </w:r>
      <w:hyperlink r:id="rId9" w:tgtFrame="_blank" w:history="1">
        <w:r w:rsidRPr="00081A9A">
          <w:rPr>
            <w:rFonts w:ascii="Arial" w:eastAsia="Times New Roman" w:hAnsi="Arial" w:cs="Arial"/>
            <w:color w:val="0000FF"/>
            <w:sz w:val="20"/>
            <w:szCs w:val="20"/>
            <w:u w:val="single"/>
            <w:lang w:eastAsia="en-IN"/>
          </w:rPr>
          <w:t>circular DOR.AML.REC.23/14.06.001/2023-24 dated July 04, 2023</w:t>
        </w:r>
      </w:hyperlink>
      <w:r w:rsidRPr="00081A9A">
        <w:rPr>
          <w:rFonts w:ascii="Arial" w:eastAsia="Times New Roman" w:hAnsi="Arial" w:cs="Arial"/>
          <w:color w:val="000000"/>
          <w:sz w:val="20"/>
          <w:szCs w:val="20"/>
          <w:lang w:eastAsia="en-IN"/>
        </w:rPr>
        <w:t> is amended in accordance with the changes in these relevant entries.</w:t>
      </w:r>
    </w:p>
    <w:p w14:paraId="4D3A6DD2"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5. The latest version of the UNSC Sanctions lists on DPRK &amp; Iran are accessible on the UN Security Council’s website at the following URLs:</w:t>
      </w:r>
      <w:r w:rsidRPr="00081A9A">
        <w:rPr>
          <w:rFonts w:ascii="Arial" w:eastAsia="Times New Roman" w:hAnsi="Arial" w:cs="Arial"/>
          <w:color w:val="000000"/>
          <w:sz w:val="20"/>
          <w:szCs w:val="20"/>
          <w:lang w:eastAsia="en-IN"/>
        </w:rPr>
        <w:br/>
      </w:r>
      <w:hyperlink r:id="rId10" w:tgtFrame="_blank" w:history="1">
        <w:r w:rsidRPr="00081A9A">
          <w:rPr>
            <w:rFonts w:ascii="Arial" w:eastAsia="Times New Roman" w:hAnsi="Arial" w:cs="Arial"/>
            <w:color w:val="0000FF"/>
            <w:sz w:val="20"/>
            <w:szCs w:val="20"/>
            <w:u w:val="single"/>
            <w:lang w:eastAsia="en-IN"/>
          </w:rPr>
          <w:t>https://www.un.org/securitycouncil/sanctions/1718</w:t>
        </w:r>
      </w:hyperlink>
      <w:r w:rsidRPr="00081A9A">
        <w:rPr>
          <w:rFonts w:ascii="Arial" w:eastAsia="Times New Roman" w:hAnsi="Arial" w:cs="Arial"/>
          <w:color w:val="000000"/>
          <w:sz w:val="20"/>
          <w:szCs w:val="20"/>
          <w:lang w:eastAsia="en-IN"/>
        </w:rPr>
        <w:br/>
      </w:r>
      <w:hyperlink r:id="rId11" w:tgtFrame="_blank" w:history="1">
        <w:r w:rsidRPr="00081A9A">
          <w:rPr>
            <w:rFonts w:ascii="Arial" w:eastAsia="Times New Roman" w:hAnsi="Arial" w:cs="Arial"/>
            <w:color w:val="0000FF"/>
            <w:sz w:val="20"/>
            <w:szCs w:val="20"/>
            <w:u w:val="single"/>
            <w:lang w:eastAsia="en-IN"/>
          </w:rPr>
          <w:t>https://www.un.org/securitycouncil/content/2231/list</w:t>
        </w:r>
      </w:hyperlink>
    </w:p>
    <w:p w14:paraId="5593F4F1"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6. The REs are advised to take note of the aforementioned communications and ensure meticulous compliance.</w:t>
      </w:r>
    </w:p>
    <w:p w14:paraId="2828B1B8" w14:textId="77777777" w:rsidR="00081A9A" w:rsidRPr="00081A9A" w:rsidRDefault="00081A9A" w:rsidP="00081A9A">
      <w:pPr>
        <w:spacing w:before="75" w:after="120" w:line="240" w:lineRule="auto"/>
        <w:ind w:left="75" w:right="75"/>
        <w:jc w:val="both"/>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Yours faithfully,</w:t>
      </w:r>
    </w:p>
    <w:p w14:paraId="3C36B676" w14:textId="622B1829" w:rsidR="00081A9A" w:rsidRDefault="00081A9A" w:rsidP="00081A9A">
      <w:pPr>
        <w:spacing w:before="75" w:after="120" w:line="240" w:lineRule="auto"/>
        <w:ind w:left="75" w:right="75"/>
        <w:rPr>
          <w:rFonts w:ascii="Arial" w:eastAsia="Times New Roman" w:hAnsi="Arial" w:cs="Arial"/>
          <w:color w:val="000000"/>
          <w:sz w:val="20"/>
          <w:szCs w:val="20"/>
          <w:lang w:eastAsia="en-IN"/>
        </w:rPr>
      </w:pPr>
      <w:r w:rsidRPr="00081A9A">
        <w:rPr>
          <w:rFonts w:ascii="Arial" w:eastAsia="Times New Roman" w:hAnsi="Arial" w:cs="Arial"/>
          <w:color w:val="000000"/>
          <w:sz w:val="20"/>
          <w:szCs w:val="20"/>
          <w:lang w:eastAsia="en-IN"/>
        </w:rPr>
        <w:t xml:space="preserve">(Santosh Kumar </w:t>
      </w:r>
      <w:proofErr w:type="spellStart"/>
      <w:r w:rsidRPr="00081A9A">
        <w:rPr>
          <w:rFonts w:ascii="Arial" w:eastAsia="Times New Roman" w:hAnsi="Arial" w:cs="Arial"/>
          <w:color w:val="000000"/>
          <w:sz w:val="20"/>
          <w:szCs w:val="20"/>
          <w:lang w:eastAsia="en-IN"/>
        </w:rPr>
        <w:t>Panigrahy</w:t>
      </w:r>
      <w:proofErr w:type="spellEnd"/>
      <w:r w:rsidRPr="00081A9A">
        <w:rPr>
          <w:rFonts w:ascii="Arial" w:eastAsia="Times New Roman" w:hAnsi="Arial" w:cs="Arial"/>
          <w:color w:val="000000"/>
          <w:sz w:val="20"/>
          <w:szCs w:val="20"/>
          <w:lang w:eastAsia="en-IN"/>
        </w:rPr>
        <w:t>)</w:t>
      </w:r>
      <w:r w:rsidRPr="00081A9A">
        <w:rPr>
          <w:rFonts w:ascii="Arial" w:eastAsia="Times New Roman" w:hAnsi="Arial" w:cs="Arial"/>
          <w:color w:val="000000"/>
          <w:sz w:val="20"/>
          <w:szCs w:val="20"/>
          <w:lang w:eastAsia="en-IN"/>
        </w:rPr>
        <w:br/>
        <w:t>Chief General Manager</w:t>
      </w:r>
      <w:r w:rsidRPr="00081A9A">
        <w:rPr>
          <w:rFonts w:ascii="Arial" w:eastAsia="Times New Roman" w:hAnsi="Arial" w:cs="Arial"/>
          <w:color w:val="000000"/>
          <w:sz w:val="20"/>
          <w:szCs w:val="20"/>
          <w:lang w:eastAsia="en-IN"/>
        </w:rPr>
        <w:br/>
      </w:r>
      <w:proofErr w:type="spellStart"/>
      <w:r w:rsidRPr="00081A9A">
        <w:rPr>
          <w:rFonts w:ascii="Arial" w:eastAsia="Times New Roman" w:hAnsi="Arial" w:cs="Arial"/>
          <w:color w:val="000000"/>
          <w:sz w:val="20"/>
          <w:szCs w:val="20"/>
          <w:lang w:eastAsia="en-IN"/>
        </w:rPr>
        <w:t>Encl</w:t>
      </w:r>
      <w:proofErr w:type="spellEnd"/>
      <w:r w:rsidRPr="00081A9A">
        <w:rPr>
          <w:rFonts w:ascii="Arial" w:eastAsia="Times New Roman" w:hAnsi="Arial" w:cs="Arial"/>
          <w:color w:val="000000"/>
          <w:sz w:val="20"/>
          <w:szCs w:val="20"/>
          <w:lang w:eastAsia="en-IN"/>
        </w:rPr>
        <w:t>: As above</w:t>
      </w:r>
    </w:p>
    <w:p w14:paraId="2A4AC1C0" w14:textId="10F7A8F6" w:rsidR="00081A9A" w:rsidRDefault="00081A9A" w:rsidP="00081A9A">
      <w:pPr>
        <w:spacing w:before="75" w:after="120" w:line="240" w:lineRule="auto"/>
        <w:ind w:left="75" w:right="75"/>
        <w:rPr>
          <w:rFonts w:ascii="Arial" w:eastAsia="Times New Roman" w:hAnsi="Arial" w:cs="Arial"/>
          <w:color w:val="000000"/>
          <w:sz w:val="20"/>
          <w:szCs w:val="20"/>
          <w:lang w:eastAsia="en-IN"/>
        </w:rPr>
      </w:pPr>
    </w:p>
    <w:p w14:paraId="7A618D22" w14:textId="77777777" w:rsidR="00F3711F" w:rsidRPr="00F3711F" w:rsidRDefault="00F3711F" w:rsidP="00F3711F">
      <w:pPr>
        <w:spacing w:line="256" w:lineRule="auto"/>
        <w:rPr>
          <w:kern w:val="2"/>
          <w14:ligatures w14:val="standardContextual"/>
        </w:rPr>
      </w:pPr>
      <w:r w:rsidRPr="00F3711F">
        <w:rPr>
          <w:kern w:val="2"/>
          <w14:ligatures w14:val="standardContextual"/>
        </w:rPr>
        <w:t>For more details, Kindly refer:</w:t>
      </w:r>
    </w:p>
    <w:p w14:paraId="0819A06A" w14:textId="0B705BD3" w:rsidR="00081A9A" w:rsidRDefault="00DA3054" w:rsidP="00F3711F">
      <w:pPr>
        <w:spacing w:before="75" w:after="120" w:line="240" w:lineRule="auto"/>
        <w:ind w:right="75"/>
        <w:rPr>
          <w:rFonts w:ascii="Arial" w:eastAsia="Times New Roman" w:hAnsi="Arial" w:cs="Arial"/>
          <w:color w:val="000000"/>
          <w:sz w:val="20"/>
          <w:szCs w:val="20"/>
          <w:lang w:eastAsia="en-IN"/>
        </w:rPr>
      </w:pPr>
      <w:hyperlink r:id="rId12" w:history="1">
        <w:r w:rsidR="00081A9A" w:rsidRPr="001D52A4">
          <w:rPr>
            <w:rStyle w:val="Hyperlink"/>
            <w:rFonts w:ascii="Arial" w:eastAsia="Times New Roman" w:hAnsi="Arial" w:cs="Arial"/>
            <w:sz w:val="20"/>
            <w:szCs w:val="20"/>
            <w:lang w:eastAsia="en-IN"/>
          </w:rPr>
          <w:t>https://rbi.org.in/Scripts/NotificationUser.aspx?Id=12530&amp;Mode=0</w:t>
        </w:r>
      </w:hyperlink>
    </w:p>
    <w:p w14:paraId="224C888A" w14:textId="57479D62" w:rsidR="00081A9A" w:rsidRDefault="00081A9A" w:rsidP="00081A9A">
      <w:pPr>
        <w:spacing w:before="75" w:after="120" w:line="240" w:lineRule="auto"/>
        <w:ind w:left="75" w:right="75"/>
        <w:rPr>
          <w:rFonts w:ascii="Arial" w:eastAsia="Times New Roman" w:hAnsi="Arial" w:cs="Arial"/>
          <w:color w:val="000000"/>
          <w:sz w:val="20"/>
          <w:szCs w:val="20"/>
          <w:lang w:eastAsia="en-IN"/>
        </w:rPr>
      </w:pPr>
    </w:p>
    <w:p w14:paraId="716DA086" w14:textId="15B4326A" w:rsidR="00081A9A" w:rsidRDefault="00081A9A" w:rsidP="00081A9A">
      <w:pPr>
        <w:spacing w:before="75" w:after="120" w:line="240" w:lineRule="auto"/>
        <w:ind w:left="75" w:right="75"/>
        <w:rPr>
          <w:rFonts w:ascii="Arial" w:eastAsia="Times New Roman" w:hAnsi="Arial" w:cs="Arial"/>
          <w:color w:val="000000"/>
          <w:sz w:val="20"/>
          <w:szCs w:val="20"/>
          <w:lang w:eastAsia="en-IN"/>
        </w:rPr>
      </w:pPr>
    </w:p>
    <w:p w14:paraId="191FA6CF" w14:textId="55E1DBF7" w:rsidR="00081A9A" w:rsidRDefault="00081A9A" w:rsidP="00DA3054">
      <w:pPr>
        <w:spacing w:before="75" w:after="120" w:line="240" w:lineRule="auto"/>
        <w:ind w:right="75"/>
        <w:rPr>
          <w:rFonts w:eastAsia="Times New Roman" w:cstheme="minorHAnsi"/>
          <w:b/>
          <w:bCs/>
          <w:color w:val="000000"/>
          <w:sz w:val="24"/>
          <w:szCs w:val="24"/>
          <w:lang w:eastAsia="en-IN"/>
        </w:rPr>
      </w:pPr>
      <w:r w:rsidRPr="00081A9A">
        <w:rPr>
          <w:rFonts w:eastAsia="Times New Roman" w:cstheme="minorHAnsi"/>
          <w:b/>
          <w:bCs/>
          <w:color w:val="000000"/>
          <w:sz w:val="24"/>
          <w:szCs w:val="24"/>
          <w:lang w:eastAsia="en-IN"/>
        </w:rPr>
        <w:lastRenderedPageBreak/>
        <w:t>Amendment to the Master Direction (MD) on KYC</w:t>
      </w:r>
    </w:p>
    <w:p w14:paraId="79B539B4" w14:textId="3873ACF2" w:rsidR="00081A9A" w:rsidRDefault="00081A9A" w:rsidP="00081A9A">
      <w:pPr>
        <w:spacing w:before="75" w:after="120" w:line="240" w:lineRule="auto"/>
        <w:ind w:left="75" w:right="75"/>
        <w:rPr>
          <w:rFonts w:eastAsia="Times New Roman" w:cstheme="minorHAnsi"/>
          <w:b/>
          <w:bCs/>
          <w:color w:val="000000"/>
          <w:sz w:val="24"/>
          <w:szCs w:val="24"/>
          <w:lang w:eastAsia="en-IN"/>
        </w:rPr>
      </w:pPr>
    </w:p>
    <w:p w14:paraId="769060FB"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RBI/2023-24/69</w:t>
      </w:r>
      <w:r w:rsidRPr="007E25D3">
        <w:rPr>
          <w:rFonts w:ascii="Arial" w:eastAsia="Times New Roman" w:hAnsi="Arial" w:cs="Arial"/>
          <w:color w:val="000000"/>
          <w:sz w:val="20"/>
          <w:szCs w:val="20"/>
          <w:lang w:eastAsia="en-IN"/>
        </w:rPr>
        <w:br/>
        <w:t>DOR.AML.REC.44/14.01.001/2023-24</w:t>
      </w:r>
    </w:p>
    <w:p w14:paraId="1BE5694F" w14:textId="77777777" w:rsidR="007E25D3" w:rsidRPr="007E25D3" w:rsidRDefault="007E25D3" w:rsidP="007E25D3">
      <w:pPr>
        <w:spacing w:before="75" w:after="120" w:line="240" w:lineRule="auto"/>
        <w:ind w:left="75" w:right="75"/>
        <w:jc w:val="right"/>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October 17, 2023</w:t>
      </w:r>
    </w:p>
    <w:p w14:paraId="4B05B35F"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The Chairpersons/ CEOs of all the Regulated Entities</w:t>
      </w:r>
    </w:p>
    <w:p w14:paraId="34BF1BC7"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Dear Sir / Madam,</w:t>
      </w:r>
    </w:p>
    <w:p w14:paraId="22997A16" w14:textId="77777777" w:rsidR="007E25D3" w:rsidRPr="007E25D3" w:rsidRDefault="007E25D3" w:rsidP="007E25D3">
      <w:pPr>
        <w:spacing w:before="75" w:after="120" w:line="240" w:lineRule="auto"/>
        <w:ind w:left="75" w:right="75"/>
        <w:jc w:val="center"/>
        <w:rPr>
          <w:rFonts w:ascii="Arial" w:eastAsia="Times New Roman" w:hAnsi="Arial" w:cs="Arial"/>
          <w:b/>
          <w:bCs/>
          <w:color w:val="000000"/>
          <w:sz w:val="20"/>
          <w:szCs w:val="20"/>
          <w:lang w:eastAsia="en-IN"/>
        </w:rPr>
      </w:pPr>
      <w:r w:rsidRPr="007E25D3">
        <w:rPr>
          <w:rFonts w:ascii="Arial" w:eastAsia="Times New Roman" w:hAnsi="Arial" w:cs="Arial"/>
          <w:b/>
          <w:bCs/>
          <w:color w:val="000000"/>
          <w:sz w:val="20"/>
          <w:szCs w:val="20"/>
          <w:lang w:eastAsia="en-IN"/>
        </w:rPr>
        <w:t>Amendment to the Master Direction (MD) on KYC</w:t>
      </w:r>
    </w:p>
    <w:p w14:paraId="74ED5AD5"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Please refer to the </w:t>
      </w:r>
      <w:hyperlink r:id="rId13" w:tgtFrame="_blank" w:history="1">
        <w:r w:rsidRPr="007E25D3">
          <w:rPr>
            <w:rFonts w:ascii="Arial" w:eastAsia="Times New Roman" w:hAnsi="Arial" w:cs="Arial"/>
            <w:color w:val="0000FF"/>
            <w:sz w:val="20"/>
            <w:szCs w:val="20"/>
            <w:u w:val="single"/>
            <w:lang w:eastAsia="en-IN"/>
          </w:rPr>
          <w:t>Master Direction (MD) on KYC dated February 25, 2016</w:t>
        </w:r>
      </w:hyperlink>
      <w:r w:rsidRPr="007E25D3">
        <w:rPr>
          <w:rFonts w:ascii="Arial" w:eastAsia="Times New Roman" w:hAnsi="Arial" w:cs="Arial"/>
          <w:color w:val="000000"/>
          <w:sz w:val="20"/>
          <w:szCs w:val="20"/>
          <w:lang w:eastAsia="en-IN"/>
        </w:rPr>
        <w:t>, as amended from time to time, in terms of which Regulated Entities (REs) have to undertake Customer Due Diligence (CDD), as per the process laid out therein, for their customers.</w:t>
      </w:r>
    </w:p>
    <w:p w14:paraId="50C28A19"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2. In this regard, on a review, it has been decided to amend the MD on KYC to:</w:t>
      </w:r>
    </w:p>
    <w:p w14:paraId="5238D080"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(a) Update certain instructions considering amendments to the PML Rules vide Government notifications dated September 4, 2023 and October 17, 2023;</w:t>
      </w:r>
    </w:p>
    <w:p w14:paraId="68A39C29"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(b) Update Annex II of the MD considering the changes to Government of India Order related to Unlawful Activities (Prevention) Act (UAPA), 1967, vide corrigendum dated August 29, 2023;</w:t>
      </w:r>
    </w:p>
    <w:p w14:paraId="67AAACAE"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(c) Update Annex III of the MD by replacing the Government of India Order dated January 30, 2023, related to Weapons of Mass Destruction and their Delivery Systems (Prohibition of Unlawful Activities) Act, 2005 (WMD Act, 2005) with the Government of India Order dated September 1, 2023 (which has been issued by the Government in suppression of the earlier WMD Act Order dated January 30, 2023), on the matter;</w:t>
      </w:r>
    </w:p>
    <w:p w14:paraId="19AF7C9C"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(d) Update certain instructions in accordance with the FATF Recommendations;</w:t>
      </w:r>
    </w:p>
    <w:p w14:paraId="7C4C27A3"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(e) Add a new Section 55A, on FCRA, in the MD on KYC; and</w:t>
      </w:r>
    </w:p>
    <w:p w14:paraId="1099968C"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(f) Update certain other instructions post review.</w:t>
      </w:r>
    </w:p>
    <w:p w14:paraId="6F3135EC"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The changes carried out in the MD in this regard are provided in </w:t>
      </w:r>
      <w:hyperlink r:id="rId14" w:tgtFrame="_blank" w:history="1">
        <w:r w:rsidRPr="007E25D3">
          <w:rPr>
            <w:rFonts w:ascii="Arial" w:eastAsia="Times New Roman" w:hAnsi="Arial" w:cs="Arial"/>
            <w:color w:val="0000FF"/>
            <w:sz w:val="20"/>
            <w:szCs w:val="20"/>
            <w:u w:val="single"/>
            <w:lang w:eastAsia="en-IN"/>
          </w:rPr>
          <w:t>Annexure</w:t>
        </w:r>
      </w:hyperlink>
      <w:r w:rsidRPr="007E25D3">
        <w:rPr>
          <w:rFonts w:ascii="Arial" w:eastAsia="Times New Roman" w:hAnsi="Arial" w:cs="Arial"/>
          <w:color w:val="000000"/>
          <w:sz w:val="20"/>
          <w:szCs w:val="20"/>
          <w:lang w:eastAsia="en-IN"/>
        </w:rPr>
        <w:t>.</w:t>
      </w:r>
    </w:p>
    <w:p w14:paraId="4DEEA05C"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3. Accordingly, the relevant Sections of the </w:t>
      </w:r>
      <w:hyperlink r:id="rId15" w:tgtFrame="_blank" w:history="1">
        <w:r w:rsidRPr="007E25D3">
          <w:rPr>
            <w:rFonts w:ascii="Arial" w:eastAsia="Times New Roman" w:hAnsi="Arial" w:cs="Arial"/>
            <w:color w:val="0000FF"/>
            <w:sz w:val="20"/>
            <w:szCs w:val="20"/>
            <w:u w:val="single"/>
            <w:lang w:eastAsia="en-IN"/>
          </w:rPr>
          <w:t>MD on KYC</w:t>
        </w:r>
      </w:hyperlink>
      <w:r w:rsidRPr="007E25D3">
        <w:rPr>
          <w:rFonts w:ascii="Arial" w:eastAsia="Times New Roman" w:hAnsi="Arial" w:cs="Arial"/>
          <w:color w:val="000000"/>
          <w:sz w:val="20"/>
          <w:szCs w:val="20"/>
          <w:lang w:eastAsia="en-IN"/>
        </w:rPr>
        <w:t> are hereby amended to reflect the changes furnished in Annexure. The amended provisions in the MD shall come into force with immediate effect.</w:t>
      </w:r>
    </w:p>
    <w:p w14:paraId="568ACC8D"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Yours faithfully,</w:t>
      </w:r>
    </w:p>
    <w:p w14:paraId="25D622FA" w14:textId="77777777" w:rsidR="007E25D3" w:rsidRPr="007E25D3" w:rsidRDefault="007E25D3" w:rsidP="007E25D3">
      <w:pPr>
        <w:spacing w:before="75" w:after="120" w:line="240" w:lineRule="auto"/>
        <w:ind w:left="75" w:right="75"/>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 xml:space="preserve">(Santosh Kumar </w:t>
      </w:r>
      <w:proofErr w:type="spellStart"/>
      <w:r w:rsidRPr="007E25D3">
        <w:rPr>
          <w:rFonts w:ascii="Arial" w:eastAsia="Times New Roman" w:hAnsi="Arial" w:cs="Arial"/>
          <w:color w:val="000000"/>
          <w:sz w:val="20"/>
          <w:szCs w:val="20"/>
          <w:lang w:eastAsia="en-IN"/>
        </w:rPr>
        <w:t>Panigrahy</w:t>
      </w:r>
      <w:proofErr w:type="spellEnd"/>
      <w:r w:rsidRPr="007E25D3">
        <w:rPr>
          <w:rFonts w:ascii="Arial" w:eastAsia="Times New Roman" w:hAnsi="Arial" w:cs="Arial"/>
          <w:color w:val="000000"/>
          <w:sz w:val="20"/>
          <w:szCs w:val="20"/>
          <w:lang w:eastAsia="en-IN"/>
        </w:rPr>
        <w:t>)</w:t>
      </w:r>
      <w:r w:rsidRPr="007E25D3">
        <w:rPr>
          <w:rFonts w:ascii="Arial" w:eastAsia="Times New Roman" w:hAnsi="Arial" w:cs="Arial"/>
          <w:color w:val="000000"/>
          <w:sz w:val="20"/>
          <w:szCs w:val="20"/>
          <w:lang w:eastAsia="en-IN"/>
        </w:rPr>
        <w:br/>
        <w:t>Chief General Manager</w:t>
      </w:r>
    </w:p>
    <w:p w14:paraId="23089DEC"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proofErr w:type="spellStart"/>
      <w:r w:rsidRPr="007E25D3">
        <w:rPr>
          <w:rFonts w:ascii="Arial" w:eastAsia="Times New Roman" w:hAnsi="Arial" w:cs="Arial"/>
          <w:color w:val="000000"/>
          <w:sz w:val="20"/>
          <w:szCs w:val="20"/>
          <w:lang w:eastAsia="en-IN"/>
        </w:rPr>
        <w:t>Encl</w:t>
      </w:r>
      <w:proofErr w:type="spellEnd"/>
      <w:r w:rsidRPr="007E25D3">
        <w:rPr>
          <w:rFonts w:ascii="Arial" w:eastAsia="Times New Roman" w:hAnsi="Arial" w:cs="Arial"/>
          <w:color w:val="000000"/>
          <w:sz w:val="20"/>
          <w:szCs w:val="20"/>
          <w:lang w:eastAsia="en-IN"/>
        </w:rPr>
        <w:t>: As above</w:t>
      </w:r>
    </w:p>
    <w:p w14:paraId="48BE91CF" w14:textId="1C9F3D0E" w:rsidR="00081A9A" w:rsidRDefault="00081A9A" w:rsidP="00081A9A">
      <w:pPr>
        <w:spacing w:before="75" w:after="120" w:line="240" w:lineRule="auto"/>
        <w:ind w:left="75" w:right="75"/>
        <w:rPr>
          <w:rFonts w:eastAsia="Times New Roman" w:cstheme="minorHAnsi"/>
          <w:b/>
          <w:bCs/>
          <w:color w:val="000000"/>
          <w:sz w:val="24"/>
          <w:szCs w:val="24"/>
          <w:lang w:eastAsia="en-IN"/>
        </w:rPr>
      </w:pPr>
    </w:p>
    <w:p w14:paraId="23F5FF28" w14:textId="003E694B" w:rsidR="007E25D3" w:rsidRPr="00F3711F" w:rsidRDefault="00F3711F" w:rsidP="00081A9A">
      <w:pPr>
        <w:spacing w:before="75" w:after="120" w:line="240" w:lineRule="auto"/>
        <w:ind w:left="75" w:right="75"/>
        <w:rPr>
          <w:rFonts w:eastAsia="Times New Roman" w:cstheme="minorHAnsi"/>
          <w:bCs/>
          <w:color w:val="000000"/>
          <w:sz w:val="24"/>
          <w:szCs w:val="24"/>
          <w:lang w:eastAsia="en-IN"/>
        </w:rPr>
      </w:pPr>
      <w:r w:rsidRPr="00F3711F">
        <w:rPr>
          <w:rFonts w:eastAsia="Times New Roman" w:cstheme="minorHAnsi"/>
          <w:bCs/>
          <w:color w:val="000000"/>
          <w:sz w:val="24"/>
          <w:szCs w:val="24"/>
          <w:lang w:eastAsia="en-IN"/>
        </w:rPr>
        <w:t>For more details, Kindly refer:</w:t>
      </w:r>
    </w:p>
    <w:p w14:paraId="51E29CF1" w14:textId="56D90AB6" w:rsidR="007E25D3" w:rsidRPr="00F3711F" w:rsidRDefault="00DA3054" w:rsidP="00081A9A">
      <w:pPr>
        <w:spacing w:before="75" w:after="120" w:line="240" w:lineRule="auto"/>
        <w:ind w:left="75" w:right="75"/>
        <w:rPr>
          <w:rFonts w:eastAsia="Times New Roman" w:cstheme="minorHAnsi"/>
          <w:bCs/>
          <w:color w:val="000000"/>
          <w:sz w:val="24"/>
          <w:szCs w:val="24"/>
          <w:lang w:eastAsia="en-IN"/>
        </w:rPr>
      </w:pPr>
      <w:hyperlink r:id="rId16" w:history="1">
        <w:r w:rsidR="007E25D3" w:rsidRPr="00F3711F">
          <w:rPr>
            <w:rStyle w:val="Hyperlink"/>
            <w:rFonts w:eastAsia="Times New Roman" w:cstheme="minorHAnsi"/>
            <w:bCs/>
            <w:sz w:val="24"/>
            <w:szCs w:val="24"/>
            <w:lang w:eastAsia="en-IN"/>
          </w:rPr>
          <w:t>https://rbi.org.in/Scripts/NotificationUser.aspx?Id=12549&amp;Mode=0</w:t>
        </w:r>
      </w:hyperlink>
    </w:p>
    <w:p w14:paraId="45F34DB8" w14:textId="5F7CCB78" w:rsidR="007E25D3" w:rsidRPr="00F3711F" w:rsidRDefault="007E25D3" w:rsidP="00081A9A">
      <w:pPr>
        <w:spacing w:before="75" w:after="120" w:line="240" w:lineRule="auto"/>
        <w:ind w:left="75" w:right="75"/>
        <w:rPr>
          <w:rFonts w:eastAsia="Times New Roman" w:cstheme="minorHAnsi"/>
          <w:bCs/>
          <w:color w:val="000000"/>
          <w:sz w:val="24"/>
          <w:szCs w:val="24"/>
          <w:lang w:eastAsia="en-IN"/>
        </w:rPr>
      </w:pPr>
    </w:p>
    <w:p w14:paraId="5196B540" w14:textId="1DB43F5B" w:rsidR="007E25D3" w:rsidRDefault="007E25D3" w:rsidP="00081A9A">
      <w:pPr>
        <w:spacing w:before="75" w:after="120" w:line="240" w:lineRule="auto"/>
        <w:ind w:left="75" w:right="75"/>
        <w:rPr>
          <w:rFonts w:eastAsia="Times New Roman" w:cstheme="minorHAnsi"/>
          <w:b/>
          <w:bCs/>
          <w:color w:val="000000"/>
          <w:sz w:val="24"/>
          <w:szCs w:val="24"/>
          <w:lang w:eastAsia="en-IN"/>
        </w:rPr>
      </w:pPr>
    </w:p>
    <w:p w14:paraId="26EF3723" w14:textId="42231294" w:rsidR="007E25D3" w:rsidRDefault="007E25D3" w:rsidP="00081A9A">
      <w:pPr>
        <w:spacing w:before="75" w:after="120" w:line="240" w:lineRule="auto"/>
        <w:ind w:left="75" w:right="75"/>
        <w:rPr>
          <w:rFonts w:eastAsia="Times New Roman" w:cstheme="minorHAnsi"/>
          <w:b/>
          <w:bCs/>
          <w:color w:val="000000"/>
          <w:sz w:val="24"/>
          <w:szCs w:val="24"/>
          <w:lang w:eastAsia="en-IN"/>
        </w:rPr>
      </w:pPr>
    </w:p>
    <w:p w14:paraId="568CA1F0" w14:textId="6C2D5CC9" w:rsidR="007E25D3" w:rsidRDefault="007E25D3" w:rsidP="00081A9A">
      <w:pPr>
        <w:spacing w:before="75" w:after="120" w:line="240" w:lineRule="auto"/>
        <w:ind w:left="75" w:right="75"/>
        <w:rPr>
          <w:rFonts w:eastAsia="Times New Roman" w:cstheme="minorHAnsi"/>
          <w:b/>
          <w:bCs/>
          <w:color w:val="000000"/>
          <w:sz w:val="24"/>
          <w:szCs w:val="24"/>
          <w:lang w:eastAsia="en-IN"/>
        </w:rPr>
      </w:pPr>
    </w:p>
    <w:p w14:paraId="234D7ABD" w14:textId="6E6A77E7" w:rsidR="007E25D3" w:rsidRDefault="007E25D3" w:rsidP="00081A9A">
      <w:pPr>
        <w:spacing w:before="75" w:after="120" w:line="240" w:lineRule="auto"/>
        <w:ind w:left="75" w:right="75"/>
        <w:rPr>
          <w:rFonts w:eastAsia="Times New Roman" w:cstheme="minorHAnsi"/>
          <w:b/>
          <w:bCs/>
          <w:color w:val="000000"/>
          <w:sz w:val="24"/>
          <w:szCs w:val="24"/>
          <w:lang w:eastAsia="en-IN"/>
        </w:rPr>
      </w:pPr>
    </w:p>
    <w:p w14:paraId="0586D18E" w14:textId="2021F926" w:rsidR="007E25D3" w:rsidRDefault="007E25D3" w:rsidP="00081A9A">
      <w:pPr>
        <w:spacing w:before="75" w:after="120" w:line="240" w:lineRule="auto"/>
        <w:ind w:left="75" w:right="75"/>
        <w:rPr>
          <w:rFonts w:eastAsia="Times New Roman" w:cstheme="minorHAnsi"/>
          <w:b/>
          <w:bCs/>
          <w:color w:val="000000"/>
          <w:sz w:val="24"/>
          <w:szCs w:val="24"/>
          <w:lang w:eastAsia="en-IN"/>
        </w:rPr>
      </w:pPr>
    </w:p>
    <w:p w14:paraId="525FE1FF" w14:textId="436DE082" w:rsidR="007E25D3" w:rsidRDefault="007E25D3" w:rsidP="00081A9A">
      <w:pPr>
        <w:spacing w:before="75" w:after="120" w:line="240" w:lineRule="auto"/>
        <w:ind w:left="75" w:right="75"/>
        <w:rPr>
          <w:rFonts w:eastAsia="Times New Roman" w:cstheme="minorHAnsi"/>
          <w:b/>
          <w:bCs/>
          <w:color w:val="000000"/>
          <w:sz w:val="24"/>
          <w:szCs w:val="24"/>
          <w:lang w:eastAsia="en-IN"/>
        </w:rPr>
      </w:pPr>
    </w:p>
    <w:p w14:paraId="491F227C" w14:textId="6945A392" w:rsidR="007E25D3" w:rsidRDefault="007E25D3" w:rsidP="007E25D3">
      <w:pPr>
        <w:spacing w:before="75" w:after="120" w:line="240" w:lineRule="auto"/>
        <w:ind w:left="75" w:right="75"/>
        <w:jc w:val="both"/>
        <w:rPr>
          <w:rFonts w:eastAsia="Times New Roman" w:cstheme="minorHAnsi"/>
          <w:b/>
          <w:bCs/>
          <w:color w:val="000000"/>
          <w:sz w:val="24"/>
          <w:szCs w:val="24"/>
          <w:lang w:eastAsia="en-IN"/>
        </w:rPr>
      </w:pPr>
      <w:r w:rsidRPr="007E25D3">
        <w:rPr>
          <w:rFonts w:eastAsia="Times New Roman" w:cstheme="minorHAnsi"/>
          <w:b/>
          <w:bCs/>
          <w:color w:val="000000"/>
          <w:sz w:val="24"/>
          <w:szCs w:val="24"/>
          <w:lang w:eastAsia="en-IN"/>
        </w:rPr>
        <w:lastRenderedPageBreak/>
        <w:t>Master Direction on Information Technology Governance, Risk, Controls and Assurance Practices</w:t>
      </w:r>
    </w:p>
    <w:p w14:paraId="2FA1067C" w14:textId="4F8292D8" w:rsidR="007E25D3" w:rsidRDefault="007E25D3" w:rsidP="00081A9A">
      <w:pPr>
        <w:spacing w:before="75" w:after="120" w:line="240" w:lineRule="auto"/>
        <w:ind w:left="75" w:right="75"/>
        <w:rPr>
          <w:rFonts w:eastAsia="Times New Roman" w:cstheme="minorHAnsi"/>
          <w:b/>
          <w:bCs/>
          <w:color w:val="000000"/>
          <w:sz w:val="24"/>
          <w:szCs w:val="24"/>
          <w:lang w:eastAsia="en-IN"/>
        </w:rPr>
      </w:pPr>
    </w:p>
    <w:p w14:paraId="7FFA623D"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RBI/2023-24/107</w:t>
      </w:r>
      <w:r w:rsidRPr="007E25D3">
        <w:rPr>
          <w:rFonts w:ascii="Arial" w:eastAsia="Times New Roman" w:hAnsi="Arial" w:cs="Arial"/>
          <w:color w:val="000000"/>
          <w:sz w:val="20"/>
          <w:szCs w:val="20"/>
          <w:lang w:eastAsia="en-IN"/>
        </w:rPr>
        <w:br/>
      </w:r>
      <w:proofErr w:type="spellStart"/>
      <w:r w:rsidRPr="007E25D3">
        <w:rPr>
          <w:rFonts w:ascii="Arial" w:eastAsia="Times New Roman" w:hAnsi="Arial" w:cs="Arial"/>
          <w:color w:val="000000"/>
          <w:sz w:val="20"/>
          <w:szCs w:val="20"/>
          <w:lang w:eastAsia="en-IN"/>
        </w:rPr>
        <w:t>DoS.CO.CSITEG</w:t>
      </w:r>
      <w:proofErr w:type="spellEnd"/>
      <w:r w:rsidRPr="007E25D3">
        <w:rPr>
          <w:rFonts w:ascii="Arial" w:eastAsia="Times New Roman" w:hAnsi="Arial" w:cs="Arial"/>
          <w:color w:val="000000"/>
          <w:sz w:val="20"/>
          <w:szCs w:val="20"/>
          <w:lang w:eastAsia="en-IN"/>
        </w:rPr>
        <w:t>/SEC.7/31.01.015/2023-24</w:t>
      </w:r>
    </w:p>
    <w:p w14:paraId="4397B5E5" w14:textId="77777777" w:rsidR="007E25D3" w:rsidRPr="007E25D3" w:rsidRDefault="007E25D3" w:rsidP="007E25D3">
      <w:pPr>
        <w:spacing w:before="75" w:after="120" w:line="240" w:lineRule="auto"/>
        <w:ind w:left="75" w:right="75"/>
        <w:jc w:val="right"/>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November 7, 2023</w:t>
      </w:r>
    </w:p>
    <w:p w14:paraId="2E29F639" w14:textId="77777777" w:rsidR="007E25D3" w:rsidRPr="007E25D3" w:rsidRDefault="007E25D3" w:rsidP="007E25D3">
      <w:pPr>
        <w:spacing w:before="75" w:after="120" w:line="240" w:lineRule="auto"/>
        <w:ind w:left="75" w:right="75"/>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The Chairman/Managing Director/Chief Executive Officer</w:t>
      </w:r>
      <w:r w:rsidRPr="007E25D3">
        <w:rPr>
          <w:rFonts w:ascii="Arial" w:eastAsia="Times New Roman" w:hAnsi="Arial" w:cs="Arial"/>
          <w:color w:val="000000"/>
          <w:sz w:val="20"/>
          <w:szCs w:val="20"/>
          <w:lang w:eastAsia="en-IN"/>
        </w:rPr>
        <w:br/>
        <w:t>Scheduled Commercial Banks (excluding Regional Rural Banks);</w:t>
      </w:r>
      <w:r w:rsidRPr="007E25D3">
        <w:rPr>
          <w:rFonts w:ascii="Arial" w:eastAsia="Times New Roman" w:hAnsi="Arial" w:cs="Arial"/>
          <w:color w:val="000000"/>
          <w:sz w:val="20"/>
          <w:szCs w:val="20"/>
          <w:lang w:eastAsia="en-IN"/>
        </w:rPr>
        <w:br/>
        <w:t>Small Finance Banks; Payments Banks;</w:t>
      </w:r>
      <w:r w:rsidRPr="007E25D3">
        <w:rPr>
          <w:rFonts w:ascii="Arial" w:eastAsia="Times New Roman" w:hAnsi="Arial" w:cs="Arial"/>
          <w:color w:val="000000"/>
          <w:sz w:val="20"/>
          <w:szCs w:val="20"/>
          <w:lang w:eastAsia="en-IN"/>
        </w:rPr>
        <w:br/>
        <w:t>Non-Banking Financial Companies;</w:t>
      </w:r>
      <w:r w:rsidRPr="007E25D3">
        <w:rPr>
          <w:rFonts w:ascii="Arial" w:eastAsia="Times New Roman" w:hAnsi="Arial" w:cs="Arial"/>
          <w:color w:val="000000"/>
          <w:sz w:val="20"/>
          <w:szCs w:val="20"/>
          <w:lang w:eastAsia="en-IN"/>
        </w:rPr>
        <w:br/>
        <w:t>Credit Information Companies; and</w:t>
      </w:r>
      <w:r w:rsidRPr="007E25D3">
        <w:rPr>
          <w:rFonts w:ascii="Arial" w:eastAsia="Times New Roman" w:hAnsi="Arial" w:cs="Arial"/>
          <w:color w:val="000000"/>
          <w:sz w:val="20"/>
          <w:szCs w:val="20"/>
          <w:lang w:eastAsia="en-IN"/>
        </w:rPr>
        <w:br/>
        <w:t>All India Financial Institutions (EXIM Bank, NABARD, NaBFID, NHB and SIDBI)</w:t>
      </w:r>
    </w:p>
    <w:p w14:paraId="1AD7AEFE"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Madam/Dear Sir,</w:t>
      </w:r>
    </w:p>
    <w:p w14:paraId="5F610849" w14:textId="77777777" w:rsidR="007E25D3" w:rsidRPr="007E25D3" w:rsidRDefault="007E25D3" w:rsidP="007E25D3">
      <w:pPr>
        <w:spacing w:before="75" w:after="120" w:line="240" w:lineRule="auto"/>
        <w:ind w:left="75" w:right="75"/>
        <w:jc w:val="both"/>
        <w:rPr>
          <w:rFonts w:ascii="Arial" w:eastAsia="Times New Roman" w:hAnsi="Arial" w:cs="Arial"/>
          <w:b/>
          <w:bCs/>
          <w:color w:val="000000"/>
          <w:sz w:val="20"/>
          <w:szCs w:val="20"/>
          <w:lang w:eastAsia="en-IN"/>
        </w:rPr>
      </w:pPr>
      <w:r w:rsidRPr="007E25D3">
        <w:rPr>
          <w:rFonts w:ascii="Arial" w:eastAsia="Times New Roman" w:hAnsi="Arial" w:cs="Arial"/>
          <w:b/>
          <w:bCs/>
          <w:color w:val="000000"/>
          <w:sz w:val="20"/>
          <w:szCs w:val="20"/>
          <w:lang w:eastAsia="en-IN"/>
        </w:rPr>
        <w:t>Master Direction on Information Technology Governance, Risk, Controls and Assurance Practices</w:t>
      </w:r>
    </w:p>
    <w:p w14:paraId="2887B356"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Please refer to paragraph IV (8) of the </w:t>
      </w:r>
      <w:hyperlink r:id="rId17" w:tgtFrame="_blank" w:history="1">
        <w:r w:rsidRPr="007E25D3">
          <w:rPr>
            <w:rFonts w:ascii="Arial" w:eastAsia="Times New Roman" w:hAnsi="Arial" w:cs="Arial"/>
            <w:color w:val="0000FF"/>
            <w:sz w:val="20"/>
            <w:szCs w:val="20"/>
            <w:u w:val="single"/>
            <w:lang w:eastAsia="en-IN"/>
          </w:rPr>
          <w:t>Statement on Developmental and Regulatory Policies</w:t>
        </w:r>
      </w:hyperlink>
      <w:r w:rsidRPr="007E25D3">
        <w:rPr>
          <w:rFonts w:ascii="Arial" w:eastAsia="Times New Roman" w:hAnsi="Arial" w:cs="Arial"/>
          <w:color w:val="000000"/>
          <w:sz w:val="20"/>
          <w:szCs w:val="20"/>
          <w:lang w:eastAsia="en-IN"/>
        </w:rPr>
        <w:t> released with the </w:t>
      </w:r>
      <w:hyperlink r:id="rId18" w:tgtFrame="_blank" w:history="1">
        <w:r w:rsidRPr="007E25D3">
          <w:rPr>
            <w:rFonts w:ascii="Arial" w:eastAsia="Times New Roman" w:hAnsi="Arial" w:cs="Arial"/>
            <w:color w:val="0000FF"/>
            <w:sz w:val="20"/>
            <w:szCs w:val="20"/>
            <w:u w:val="single"/>
            <w:lang w:eastAsia="en-IN"/>
          </w:rPr>
          <w:t>Bi-monthly Monetary Policy Statement 2021-22 on February 10, 2022</w:t>
        </w:r>
      </w:hyperlink>
      <w:r w:rsidRPr="007E25D3">
        <w:rPr>
          <w:rFonts w:ascii="Arial" w:eastAsia="Times New Roman" w:hAnsi="Arial" w:cs="Arial"/>
          <w:color w:val="000000"/>
          <w:sz w:val="20"/>
          <w:szCs w:val="20"/>
          <w:lang w:eastAsia="en-IN"/>
        </w:rPr>
        <w:t>, wherein it was announced that draft guidelines, updating and consolidating the instructions relating to Information Technology (IT) Governance and Controls, Business Continuity Management and Information Systems Audit, will be issued by the Reserve Bank of India.</w:t>
      </w:r>
    </w:p>
    <w:p w14:paraId="78F7A369"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2. Accordingly, a draft Master Direction on the subject was published in </w:t>
      </w:r>
      <w:hyperlink r:id="rId19" w:tgtFrame="_blank" w:history="1">
        <w:r w:rsidRPr="007E25D3">
          <w:rPr>
            <w:rFonts w:ascii="Arial" w:eastAsia="Times New Roman" w:hAnsi="Arial" w:cs="Arial"/>
            <w:color w:val="0000FF"/>
            <w:sz w:val="20"/>
            <w:szCs w:val="20"/>
            <w:u w:val="single"/>
            <w:lang w:eastAsia="en-IN"/>
          </w:rPr>
          <w:t>October 2022</w:t>
        </w:r>
      </w:hyperlink>
      <w:r w:rsidRPr="007E25D3">
        <w:rPr>
          <w:rFonts w:ascii="Arial" w:eastAsia="Times New Roman" w:hAnsi="Arial" w:cs="Arial"/>
          <w:color w:val="000000"/>
          <w:sz w:val="20"/>
          <w:szCs w:val="20"/>
          <w:lang w:eastAsia="en-IN"/>
        </w:rPr>
        <w:t> seeking public comments.  Based on feedback received, the final Reserve Bank of India (Information Technology Governance, Risk, Controls and Assurance Practices) Directions, 2023 are enclosed herewith.</w:t>
      </w:r>
    </w:p>
    <w:p w14:paraId="4F44E3B0"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Yours faithfully,</w:t>
      </w:r>
    </w:p>
    <w:p w14:paraId="20DFAA2F" w14:textId="77777777" w:rsidR="007E25D3" w:rsidRP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r w:rsidRPr="007E25D3">
        <w:rPr>
          <w:rFonts w:ascii="Arial" w:eastAsia="Times New Roman" w:hAnsi="Arial" w:cs="Arial"/>
          <w:color w:val="000000"/>
          <w:sz w:val="20"/>
          <w:szCs w:val="20"/>
          <w:lang w:eastAsia="en-IN"/>
        </w:rPr>
        <w:t>(</w:t>
      </w:r>
      <w:proofErr w:type="spellStart"/>
      <w:r w:rsidRPr="007E25D3">
        <w:rPr>
          <w:rFonts w:ascii="Arial" w:eastAsia="Times New Roman" w:hAnsi="Arial" w:cs="Arial"/>
          <w:color w:val="000000"/>
          <w:sz w:val="20"/>
          <w:szCs w:val="20"/>
          <w:lang w:eastAsia="en-IN"/>
        </w:rPr>
        <w:t>T.K.Rajan</w:t>
      </w:r>
      <w:proofErr w:type="spellEnd"/>
      <w:r w:rsidRPr="007E25D3">
        <w:rPr>
          <w:rFonts w:ascii="Arial" w:eastAsia="Times New Roman" w:hAnsi="Arial" w:cs="Arial"/>
          <w:color w:val="000000"/>
          <w:sz w:val="20"/>
          <w:szCs w:val="20"/>
          <w:lang w:eastAsia="en-IN"/>
        </w:rPr>
        <w:t>)</w:t>
      </w:r>
      <w:r w:rsidRPr="007E25D3">
        <w:rPr>
          <w:rFonts w:ascii="Arial" w:eastAsia="Times New Roman" w:hAnsi="Arial" w:cs="Arial"/>
          <w:color w:val="000000"/>
          <w:sz w:val="20"/>
          <w:szCs w:val="20"/>
          <w:lang w:eastAsia="en-IN"/>
        </w:rPr>
        <w:br/>
        <w:t>Chief General Manager</w:t>
      </w:r>
    </w:p>
    <w:p w14:paraId="3F909F59" w14:textId="2A3DDDBE" w:rsidR="007E25D3" w:rsidRDefault="007E25D3" w:rsidP="007E25D3">
      <w:pPr>
        <w:spacing w:before="75" w:after="120" w:line="240" w:lineRule="auto"/>
        <w:ind w:left="75" w:right="75"/>
        <w:jc w:val="both"/>
        <w:rPr>
          <w:rFonts w:ascii="Arial" w:eastAsia="Times New Roman" w:hAnsi="Arial" w:cs="Arial"/>
          <w:color w:val="000000"/>
          <w:sz w:val="20"/>
          <w:szCs w:val="20"/>
          <w:lang w:eastAsia="en-IN"/>
        </w:rPr>
      </w:pPr>
      <w:proofErr w:type="spellStart"/>
      <w:r w:rsidRPr="007E25D3">
        <w:rPr>
          <w:rFonts w:ascii="Arial" w:eastAsia="Times New Roman" w:hAnsi="Arial" w:cs="Arial"/>
          <w:color w:val="000000"/>
          <w:sz w:val="20"/>
          <w:szCs w:val="20"/>
          <w:lang w:eastAsia="en-IN"/>
        </w:rPr>
        <w:t>Encl</w:t>
      </w:r>
      <w:proofErr w:type="spellEnd"/>
      <w:r w:rsidRPr="007E25D3">
        <w:rPr>
          <w:rFonts w:ascii="Arial" w:eastAsia="Times New Roman" w:hAnsi="Arial" w:cs="Arial"/>
          <w:color w:val="000000"/>
          <w:sz w:val="20"/>
          <w:szCs w:val="20"/>
          <w:lang w:eastAsia="en-IN"/>
        </w:rPr>
        <w:t>: Reserve Bank of India (Information Technology Governance, Risk, Controls and Assurance Practices) Directions, 2023</w:t>
      </w:r>
    </w:p>
    <w:p w14:paraId="0FA79791" w14:textId="77777777" w:rsidR="00F3711F" w:rsidRDefault="00F3711F" w:rsidP="007E25D3">
      <w:pPr>
        <w:spacing w:before="75" w:after="120" w:line="240" w:lineRule="auto"/>
        <w:ind w:left="75" w:right="75"/>
        <w:jc w:val="both"/>
        <w:rPr>
          <w:rFonts w:ascii="Arial" w:eastAsia="Times New Roman" w:hAnsi="Arial" w:cs="Arial"/>
          <w:color w:val="000000"/>
          <w:sz w:val="20"/>
          <w:szCs w:val="20"/>
          <w:lang w:eastAsia="en-IN"/>
        </w:rPr>
      </w:pPr>
    </w:p>
    <w:p w14:paraId="227095A5" w14:textId="05F12866" w:rsidR="007E25D3" w:rsidRDefault="00F3711F" w:rsidP="007E25D3">
      <w:pPr>
        <w:spacing w:before="75" w:after="120" w:line="240" w:lineRule="auto"/>
        <w:ind w:left="75" w:right="75"/>
        <w:jc w:val="both"/>
        <w:rPr>
          <w:rFonts w:ascii="Arial" w:eastAsia="Times New Roman" w:hAnsi="Arial" w:cs="Arial"/>
          <w:color w:val="000000"/>
          <w:sz w:val="20"/>
          <w:szCs w:val="20"/>
          <w:lang w:eastAsia="en-IN"/>
        </w:rPr>
      </w:pPr>
      <w:r w:rsidRPr="00F3711F">
        <w:rPr>
          <w:rFonts w:ascii="Arial" w:eastAsia="Times New Roman" w:hAnsi="Arial" w:cs="Arial"/>
          <w:color w:val="000000"/>
          <w:sz w:val="20"/>
          <w:szCs w:val="20"/>
          <w:lang w:eastAsia="en-IN"/>
        </w:rPr>
        <w:t>For more details, Kindly refer:</w:t>
      </w:r>
    </w:p>
    <w:p w14:paraId="5D5FC178" w14:textId="6449DB1B" w:rsidR="007E25D3" w:rsidRDefault="00DA3054" w:rsidP="007E25D3">
      <w:pPr>
        <w:spacing w:before="75" w:after="120" w:line="240" w:lineRule="auto"/>
        <w:ind w:left="75" w:right="75"/>
        <w:jc w:val="both"/>
        <w:rPr>
          <w:rFonts w:ascii="Arial" w:eastAsia="Times New Roman" w:hAnsi="Arial" w:cs="Arial"/>
          <w:color w:val="000000"/>
          <w:sz w:val="20"/>
          <w:szCs w:val="20"/>
          <w:lang w:eastAsia="en-IN"/>
        </w:rPr>
      </w:pPr>
      <w:hyperlink r:id="rId20" w:history="1">
        <w:r w:rsidR="0020358C" w:rsidRPr="001D52A4">
          <w:rPr>
            <w:rStyle w:val="Hyperlink"/>
            <w:rFonts w:ascii="Arial" w:eastAsia="Times New Roman" w:hAnsi="Arial" w:cs="Arial"/>
            <w:sz w:val="20"/>
            <w:szCs w:val="20"/>
            <w:lang w:eastAsia="en-IN"/>
          </w:rPr>
          <w:t>https://rbi.org.in/Scripts/NotificationUser.aspx?Id=12562&amp;Mode=0</w:t>
        </w:r>
      </w:hyperlink>
    </w:p>
    <w:p w14:paraId="4BA0F8E5" w14:textId="77777777" w:rsidR="0020358C" w:rsidRPr="007E25D3" w:rsidRDefault="0020358C" w:rsidP="007E25D3">
      <w:pPr>
        <w:spacing w:before="75" w:after="120" w:line="240" w:lineRule="auto"/>
        <w:ind w:left="75" w:right="75"/>
        <w:jc w:val="both"/>
        <w:rPr>
          <w:rFonts w:ascii="Arial" w:eastAsia="Times New Roman" w:hAnsi="Arial" w:cs="Arial"/>
          <w:color w:val="000000"/>
          <w:sz w:val="20"/>
          <w:szCs w:val="20"/>
          <w:lang w:eastAsia="en-IN"/>
        </w:rPr>
      </w:pPr>
    </w:p>
    <w:p w14:paraId="5F485377" w14:textId="77777777" w:rsidR="007E25D3" w:rsidRPr="00081A9A" w:rsidRDefault="007E25D3" w:rsidP="00081A9A">
      <w:pPr>
        <w:spacing w:before="75" w:after="120" w:line="240" w:lineRule="auto"/>
        <w:ind w:left="75" w:right="75"/>
        <w:rPr>
          <w:rFonts w:eastAsia="Times New Roman" w:cstheme="minorHAnsi"/>
          <w:b/>
          <w:bCs/>
          <w:color w:val="000000"/>
          <w:sz w:val="24"/>
          <w:szCs w:val="24"/>
          <w:lang w:eastAsia="en-IN"/>
        </w:rPr>
      </w:pPr>
    </w:p>
    <w:p w14:paraId="7BB214EA" w14:textId="77777777" w:rsidR="00081A9A" w:rsidRPr="00081A9A" w:rsidRDefault="00081A9A" w:rsidP="00081A9A">
      <w:pPr>
        <w:spacing w:before="75" w:after="120" w:line="240" w:lineRule="auto"/>
        <w:ind w:left="75" w:right="75"/>
        <w:rPr>
          <w:rFonts w:ascii="Arial" w:eastAsia="Times New Roman" w:hAnsi="Arial" w:cs="Arial"/>
          <w:color w:val="000000"/>
          <w:sz w:val="20"/>
          <w:szCs w:val="20"/>
          <w:lang w:eastAsia="en-IN"/>
        </w:rPr>
      </w:pPr>
    </w:p>
    <w:p w14:paraId="0EB51D74" w14:textId="77777777" w:rsidR="004E34F0" w:rsidRDefault="004E34F0" w:rsidP="00A16404">
      <w:pPr>
        <w:spacing w:after="0"/>
        <w:jc w:val="both"/>
        <w:rPr>
          <w:rFonts w:ascii="Arial" w:hAnsi="Arial" w:cs="Arial"/>
          <w:b/>
          <w:bCs/>
          <w:color w:val="000000"/>
          <w:sz w:val="20"/>
          <w:szCs w:val="20"/>
        </w:rPr>
      </w:pPr>
      <w:bookmarkStart w:id="1" w:name="_GoBack"/>
      <w:bookmarkEnd w:id="1"/>
    </w:p>
    <w:sectPr w:rsidR="004E3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04"/>
    <w:rsid w:val="00081A9A"/>
    <w:rsid w:val="0020358C"/>
    <w:rsid w:val="004E34F0"/>
    <w:rsid w:val="007E25D3"/>
    <w:rsid w:val="00A16404"/>
    <w:rsid w:val="00A80414"/>
    <w:rsid w:val="00DA3054"/>
    <w:rsid w:val="00F37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62CD"/>
  <w15:chartTrackingRefBased/>
  <w15:docId w15:val="{BF261C44-AC0D-4C53-9297-A3337239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40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A164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16404"/>
    <w:rPr>
      <w:color w:val="0000FF"/>
      <w:u w:val="single"/>
    </w:rPr>
  </w:style>
  <w:style w:type="table" w:styleId="TableGrid">
    <w:name w:val="Table Grid"/>
    <w:basedOn w:val="TableNormal"/>
    <w:uiPriority w:val="39"/>
    <w:rsid w:val="00A1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81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3839">
      <w:bodyDiv w:val="1"/>
      <w:marLeft w:val="0"/>
      <w:marRight w:val="0"/>
      <w:marTop w:val="0"/>
      <w:marBottom w:val="0"/>
      <w:divBdr>
        <w:top w:val="none" w:sz="0" w:space="0" w:color="auto"/>
        <w:left w:val="none" w:sz="0" w:space="0" w:color="auto"/>
        <w:bottom w:val="none" w:sz="0" w:space="0" w:color="auto"/>
        <w:right w:val="none" w:sz="0" w:space="0" w:color="auto"/>
      </w:divBdr>
    </w:div>
    <w:div w:id="591355549">
      <w:bodyDiv w:val="1"/>
      <w:marLeft w:val="0"/>
      <w:marRight w:val="0"/>
      <w:marTop w:val="0"/>
      <w:marBottom w:val="0"/>
      <w:divBdr>
        <w:top w:val="none" w:sz="0" w:space="0" w:color="auto"/>
        <w:left w:val="none" w:sz="0" w:space="0" w:color="auto"/>
        <w:bottom w:val="none" w:sz="0" w:space="0" w:color="auto"/>
        <w:right w:val="none" w:sz="0" w:space="0" w:color="auto"/>
      </w:divBdr>
    </w:div>
    <w:div w:id="1519660210">
      <w:bodyDiv w:val="1"/>
      <w:marLeft w:val="0"/>
      <w:marRight w:val="0"/>
      <w:marTop w:val="0"/>
      <w:marBottom w:val="0"/>
      <w:divBdr>
        <w:top w:val="none" w:sz="0" w:space="0" w:color="auto"/>
        <w:left w:val="none" w:sz="0" w:space="0" w:color="auto"/>
        <w:bottom w:val="none" w:sz="0" w:space="0" w:color="auto"/>
        <w:right w:val="none" w:sz="0" w:space="0" w:color="auto"/>
      </w:divBdr>
      <w:divsChild>
        <w:div w:id="1666201569">
          <w:marLeft w:val="0"/>
          <w:marRight w:val="0"/>
          <w:marTop w:val="0"/>
          <w:marBottom w:val="0"/>
          <w:divBdr>
            <w:top w:val="none" w:sz="0" w:space="0" w:color="auto"/>
            <w:left w:val="none" w:sz="0" w:space="0" w:color="auto"/>
            <w:bottom w:val="none" w:sz="0" w:space="0" w:color="auto"/>
            <w:right w:val="none" w:sz="0" w:space="0" w:color="auto"/>
          </w:divBdr>
        </w:div>
      </w:divsChild>
    </w:div>
    <w:div w:id="18980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enclosed18082023.pdf" TargetMode="External"/><Relationship Id="rId13" Type="http://schemas.openxmlformats.org/officeDocument/2006/relationships/hyperlink" Target="https://www.rbi.org.in/Scripts/BS_ViewMasDirections.aspx?id=11566" TargetMode="External"/><Relationship Id="rId18" Type="http://schemas.openxmlformats.org/officeDocument/2006/relationships/hyperlink" Target="https://rbi.org.in/Scripts/BS_PressReleaseDisplay.aspx?prid=5324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rbi.org.in/Scripts/NotificationUser.aspx?Id=12522&amp;Mode=0" TargetMode="External"/><Relationship Id="rId12" Type="http://schemas.openxmlformats.org/officeDocument/2006/relationships/hyperlink" Target="https://rbi.org.in/Scripts/NotificationUser.aspx?Id=12530&amp;Mode=0" TargetMode="External"/><Relationship Id="rId17" Type="http://schemas.openxmlformats.org/officeDocument/2006/relationships/hyperlink" Target="https://rbi.org.in/Scripts/BS_PressReleaseDisplay.aspx?prid=53248" TargetMode="External"/><Relationship Id="rId2" Type="http://schemas.openxmlformats.org/officeDocument/2006/relationships/settings" Target="settings.xml"/><Relationship Id="rId16" Type="http://schemas.openxmlformats.org/officeDocument/2006/relationships/hyperlink" Target="https://rbi.org.in/Scripts/NotificationUser.aspx?Id=12549&amp;Mode=0" TargetMode="External"/><Relationship Id="rId20" Type="http://schemas.openxmlformats.org/officeDocument/2006/relationships/hyperlink" Target="https://rbi.org.in/Scripts/NotificationUser.aspx?Id=12562&amp;Mode=0" TargetMode="External"/><Relationship Id="rId1" Type="http://schemas.openxmlformats.org/officeDocument/2006/relationships/styles" Target="styles.xml"/><Relationship Id="rId6" Type="http://schemas.openxmlformats.org/officeDocument/2006/relationships/hyperlink" Target="https://www.rbi.org.in/Scripts/NotificationUser.aspx?Id=12521&amp;Mode=0" TargetMode="External"/><Relationship Id="rId11" Type="http://schemas.openxmlformats.org/officeDocument/2006/relationships/hyperlink" Target="https://www.un.org/securitycouncil/content/2231/list" TargetMode="External"/><Relationship Id="rId5" Type="http://schemas.openxmlformats.org/officeDocument/2006/relationships/hyperlink" Target="https://www.mea.gov.in/Implementation-of-UNSC-Sanctions-DPRK.htm" TargetMode="External"/><Relationship Id="rId15" Type="http://schemas.openxmlformats.org/officeDocument/2006/relationships/hyperlink" Target="https://www.rbi.org.in/Scripts/BS_ViewMasDirections.aspx?id=11566" TargetMode="External"/><Relationship Id="rId10" Type="http://schemas.openxmlformats.org/officeDocument/2006/relationships/hyperlink" Target="https://www.un.org/securitycouncil/sanctions/1718" TargetMode="External"/><Relationship Id="rId19" Type="http://schemas.openxmlformats.org/officeDocument/2006/relationships/hyperlink" Target="https://rbi.org.in/Scripts/BS_PressReleaseDisplay.aspx?prid=54571" TargetMode="External"/><Relationship Id="rId4" Type="http://schemas.openxmlformats.org/officeDocument/2006/relationships/hyperlink" Target="https://www.rbi.org.in/Scripts/BS_ViewMasDirections.aspx?id=11566" TargetMode="External"/><Relationship Id="rId9" Type="http://schemas.openxmlformats.org/officeDocument/2006/relationships/hyperlink" Target="https://www.rbi.org.in/Scripts/NotificationUser.aspx?Id=12521&amp;Mode=0" TargetMode="External"/><Relationship Id="rId14" Type="http://schemas.openxmlformats.org/officeDocument/2006/relationships/hyperlink" Target="https://rbidocs.rbi.org.in/rdocs/content/pdfs/MDKYC17102023_Annexur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Debjyoti Dey</cp:lastModifiedBy>
  <cp:revision>7</cp:revision>
  <dcterms:created xsi:type="dcterms:W3CDTF">2022-08-04T05:57:00Z</dcterms:created>
  <dcterms:modified xsi:type="dcterms:W3CDTF">2024-01-19T11:00:00Z</dcterms:modified>
</cp:coreProperties>
</file>